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深圳</w:t>
      </w:r>
      <w:r>
        <w:rPr>
          <w:rFonts w:hint="eastAsia" w:ascii="方正小标宋简体" w:hAnsi="方正小标宋简体" w:eastAsia="方正小标宋简体" w:cs="方正小标宋简体"/>
          <w:sz w:val="36"/>
          <w:szCs w:val="36"/>
          <w:lang w:val="en-US" w:eastAsia="zh-CN"/>
        </w:rPr>
        <w:t>中小学生</w:t>
      </w:r>
      <w:r>
        <w:rPr>
          <w:rFonts w:hint="eastAsia" w:ascii="方正小标宋简体" w:hAnsi="方正小标宋简体" w:eastAsia="方正小标宋简体" w:cs="方正小标宋简体"/>
          <w:sz w:val="36"/>
          <w:szCs w:val="36"/>
        </w:rPr>
        <w:t>心理危机预防和干预机制的探索与实践</w:t>
      </w:r>
    </w:p>
    <w:p>
      <w:pPr>
        <w:spacing w:line="360" w:lineRule="auto"/>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深圳市教育科学研究院 王秋英</w:t>
      </w:r>
    </w:p>
    <w:p>
      <w:pPr>
        <w:spacing w:line="360" w:lineRule="auto"/>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深圳市教育局 冯妍妍 葛红宁</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近几年，</w:t>
      </w:r>
      <w:r>
        <w:rPr>
          <w:rFonts w:hint="eastAsia" w:ascii="仿宋" w:hAnsi="仿宋" w:eastAsia="仿宋" w:cs="仿宋"/>
          <w:sz w:val="28"/>
          <w:szCs w:val="28"/>
          <w:lang w:val="en-US" w:eastAsia="zh-CN"/>
        </w:rPr>
        <w:t>中小学生的</w:t>
      </w:r>
      <w:r>
        <w:rPr>
          <w:rFonts w:hint="eastAsia" w:ascii="仿宋" w:hAnsi="仿宋" w:eastAsia="仿宋" w:cs="仿宋"/>
          <w:sz w:val="28"/>
          <w:szCs w:val="28"/>
        </w:rPr>
        <w:t>心理危机已经成为越来越不能忽视的挑战与事实，如何预防和应对</w:t>
      </w:r>
      <w:r>
        <w:rPr>
          <w:rFonts w:hint="eastAsia" w:ascii="仿宋" w:hAnsi="仿宋" w:eastAsia="仿宋" w:cs="仿宋"/>
          <w:sz w:val="28"/>
          <w:szCs w:val="28"/>
          <w:lang w:eastAsia="zh-CN"/>
        </w:rPr>
        <w:t>中小学生</w:t>
      </w:r>
      <w:r>
        <w:rPr>
          <w:rFonts w:hint="eastAsia" w:ascii="仿宋" w:hAnsi="仿宋" w:eastAsia="仿宋" w:cs="仿宋"/>
          <w:sz w:val="28"/>
          <w:szCs w:val="28"/>
        </w:rPr>
        <w:t>心理危机的发生，不仅是学术界研究的热点，也是各地教育行政部门高度关注的问题。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为了预防和干预</w:t>
      </w:r>
      <w:r>
        <w:rPr>
          <w:rFonts w:hint="eastAsia" w:ascii="仿宋" w:hAnsi="仿宋" w:eastAsia="仿宋" w:cs="仿宋"/>
          <w:sz w:val="28"/>
          <w:szCs w:val="28"/>
          <w:lang w:eastAsia="zh-CN"/>
        </w:rPr>
        <w:t>中小学生</w:t>
      </w:r>
      <w:r>
        <w:rPr>
          <w:rFonts w:hint="eastAsia" w:ascii="仿宋" w:hAnsi="仿宋" w:eastAsia="仿宋" w:cs="仿宋"/>
          <w:sz w:val="28"/>
          <w:szCs w:val="28"/>
        </w:rPr>
        <w:t>心理危机（如自杀），美国早在2</w:t>
      </w:r>
      <w:r>
        <w:rPr>
          <w:rFonts w:ascii="仿宋" w:hAnsi="仿宋" w:eastAsia="仿宋" w:cs="仿宋"/>
          <w:sz w:val="28"/>
          <w:szCs w:val="28"/>
        </w:rPr>
        <w:t>000</w:t>
      </w:r>
      <w:r>
        <w:rPr>
          <w:rFonts w:hint="eastAsia" w:ascii="仿宋" w:hAnsi="仿宋" w:eastAsia="仿宋" w:cs="仿宋"/>
          <w:sz w:val="28"/>
          <w:szCs w:val="28"/>
        </w:rPr>
        <w:t>年前就建立了以学校为基础的预防和干预机制</w:t>
      </w:r>
      <w:r>
        <w:rPr>
          <w:rStyle w:val="14"/>
          <w:rFonts w:ascii="仿宋" w:hAnsi="仿宋" w:eastAsia="仿宋" w:cs="仿宋"/>
          <w:sz w:val="28"/>
          <w:szCs w:val="28"/>
        </w:rPr>
        <w:footnoteReference w:id="0"/>
      </w:r>
      <w:r>
        <w:rPr>
          <w:rFonts w:hint="eastAsia" w:ascii="仿宋" w:hAnsi="仿宋" w:eastAsia="仿宋" w:cs="仿宋"/>
          <w:sz w:val="28"/>
          <w:szCs w:val="28"/>
        </w:rPr>
        <w:t>，香港于2</w:t>
      </w:r>
      <w:r>
        <w:rPr>
          <w:rFonts w:ascii="仿宋" w:hAnsi="仿宋" w:eastAsia="仿宋" w:cs="仿宋"/>
          <w:sz w:val="28"/>
          <w:szCs w:val="28"/>
        </w:rPr>
        <w:t>004</w:t>
      </w:r>
      <w:r>
        <w:rPr>
          <w:rFonts w:hint="eastAsia" w:ascii="仿宋" w:hAnsi="仿宋" w:eastAsia="仿宋" w:cs="仿宋"/>
          <w:sz w:val="28"/>
          <w:szCs w:val="28"/>
        </w:rPr>
        <w:t>年开始实行了以学校为基础的</w:t>
      </w:r>
      <w:r>
        <w:rPr>
          <w:rFonts w:hint="eastAsia" w:ascii="仿宋" w:hAnsi="仿宋" w:eastAsia="仿宋" w:cs="仿宋"/>
          <w:sz w:val="28"/>
          <w:szCs w:val="28"/>
          <w:lang w:val="en-US" w:eastAsia="zh-CN"/>
        </w:rPr>
        <w:t>青少年</w:t>
      </w:r>
      <w:r>
        <w:rPr>
          <w:rFonts w:hint="eastAsia" w:ascii="仿宋" w:hAnsi="仿宋" w:eastAsia="仿宋" w:cs="仿宋"/>
          <w:sz w:val="28"/>
          <w:szCs w:val="28"/>
        </w:rPr>
        <w:t>心理健康教育（即“成长的天空”）</w:t>
      </w:r>
      <w:r>
        <w:rPr>
          <w:rStyle w:val="14"/>
          <w:rFonts w:ascii="仿宋" w:hAnsi="仿宋" w:eastAsia="仿宋" w:cs="仿宋"/>
          <w:sz w:val="28"/>
          <w:szCs w:val="28"/>
        </w:rPr>
        <w:footnoteReference w:id="1"/>
      </w:r>
      <w:r>
        <w:rPr>
          <w:rFonts w:hint="eastAsia" w:ascii="仿宋" w:hAnsi="仿宋" w:eastAsia="仿宋" w:cs="仿宋"/>
          <w:sz w:val="28"/>
          <w:szCs w:val="28"/>
        </w:rPr>
        <w:t>，对提升</w:t>
      </w:r>
      <w:r>
        <w:rPr>
          <w:rFonts w:hint="eastAsia" w:ascii="仿宋" w:hAnsi="仿宋" w:eastAsia="仿宋" w:cs="仿宋"/>
          <w:sz w:val="28"/>
          <w:szCs w:val="28"/>
          <w:lang w:val="en-US" w:eastAsia="zh-CN"/>
        </w:rPr>
        <w:t>青少年</w:t>
      </w:r>
      <w:r>
        <w:rPr>
          <w:rFonts w:hint="eastAsia" w:ascii="仿宋" w:hAnsi="仿宋" w:eastAsia="仿宋" w:cs="仿宋"/>
          <w:sz w:val="28"/>
          <w:szCs w:val="28"/>
        </w:rPr>
        <w:t>的积极品质尤其是抗逆力起了很大的作用。此后，国内学者也开展了以学校为基础的自杀预防和干预的研究</w:t>
      </w:r>
      <w:r>
        <w:rPr>
          <w:rStyle w:val="14"/>
          <w:rFonts w:ascii="仿宋" w:hAnsi="仿宋" w:eastAsia="仿宋" w:cs="仿宋"/>
          <w:sz w:val="28"/>
          <w:szCs w:val="28"/>
        </w:rPr>
        <w:footnoteReference w:id="2"/>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深圳是一座经济发展快速、创新氛围浓厚、以移民为主的先锋城市，社会各种矛盾往往集中体现在</w:t>
      </w:r>
      <w:r>
        <w:rPr>
          <w:rFonts w:hint="eastAsia" w:ascii="仿宋" w:hAnsi="仿宋" w:eastAsia="仿宋" w:cs="仿宋"/>
          <w:sz w:val="28"/>
          <w:szCs w:val="28"/>
          <w:lang w:eastAsia="zh-CN"/>
        </w:rPr>
        <w:t>中小学生</w:t>
      </w:r>
      <w:r>
        <w:rPr>
          <w:rFonts w:hint="eastAsia" w:ascii="仿宋" w:hAnsi="仿宋" w:eastAsia="仿宋" w:cs="仿宋"/>
          <w:sz w:val="28"/>
          <w:szCs w:val="28"/>
        </w:rPr>
        <w:t>的心理健康状态上，学校的心理健康教育面临着严峻的挑战。这些年，深圳市教育局整合各种资源在预防和干预中小学生的心理危机方面进行了大量的研究与探索，市领导召开了数次中小学生心理健康问题的专题会，逐渐形成了一套以教育部门为主导、以学生为中心、以学校为基础、政府各部门联防联控的预防和干预机制，创建了符合深圳特点的心理危机预防和干预模式，积累了丰富的实践经验，具有重要的实践意义和借鉴意义。</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深圳市的</w:t>
      </w:r>
      <w:r>
        <w:rPr>
          <w:rFonts w:hint="eastAsia" w:ascii="仿宋" w:hAnsi="仿宋" w:eastAsia="仿宋" w:cs="仿宋"/>
          <w:sz w:val="28"/>
          <w:szCs w:val="28"/>
          <w:lang w:eastAsia="zh-CN"/>
        </w:rPr>
        <w:t>中小学生</w:t>
      </w:r>
      <w:r>
        <w:rPr>
          <w:rFonts w:hint="eastAsia" w:ascii="仿宋" w:hAnsi="仿宋" w:eastAsia="仿宋" w:cs="仿宋"/>
          <w:sz w:val="28"/>
          <w:szCs w:val="28"/>
        </w:rPr>
        <w:t>心理危机预防与干预机制主要包括三类：普遍性预防、选择性干预和针对性干预。普遍性预防对象是全体</w:t>
      </w:r>
      <w:r>
        <w:rPr>
          <w:rFonts w:hint="eastAsia" w:ascii="仿宋" w:hAnsi="仿宋" w:eastAsia="仿宋" w:cs="仿宋"/>
          <w:sz w:val="28"/>
          <w:szCs w:val="28"/>
          <w:lang w:eastAsia="zh-CN"/>
        </w:rPr>
        <w:t>中小学生</w:t>
      </w:r>
      <w:r>
        <w:rPr>
          <w:rFonts w:hint="eastAsia" w:ascii="仿宋" w:hAnsi="仿宋" w:eastAsia="仿宋" w:cs="仿宋"/>
          <w:sz w:val="28"/>
          <w:szCs w:val="28"/>
        </w:rPr>
        <w:t>及其老师和家长，以改善与自杀行为有关的保护因素;选择性干预是对正暴露于公认的自杀流行病学危险因素的</w:t>
      </w:r>
      <w:r>
        <w:rPr>
          <w:rFonts w:hint="eastAsia" w:ascii="仿宋" w:hAnsi="仿宋" w:eastAsia="仿宋" w:cs="仿宋"/>
          <w:sz w:val="28"/>
          <w:szCs w:val="28"/>
          <w:lang w:eastAsia="zh-CN"/>
        </w:rPr>
        <w:t>中小学生</w:t>
      </w:r>
      <w:r>
        <w:rPr>
          <w:rFonts w:hint="eastAsia" w:ascii="仿宋" w:hAnsi="仿宋" w:eastAsia="仿宋" w:cs="仿宋"/>
          <w:sz w:val="28"/>
          <w:szCs w:val="28"/>
        </w:rPr>
        <w:t>进行干预;针对性干预是对有自杀风险、抑郁水平高的</w:t>
      </w:r>
      <w:r>
        <w:rPr>
          <w:rFonts w:hint="eastAsia" w:ascii="仿宋" w:hAnsi="仿宋" w:eastAsia="仿宋" w:cs="仿宋"/>
          <w:sz w:val="28"/>
          <w:szCs w:val="28"/>
          <w:lang w:eastAsia="zh-CN"/>
        </w:rPr>
        <w:t>中小学生</w:t>
      </w:r>
      <w:r>
        <w:rPr>
          <w:rFonts w:hint="eastAsia" w:ascii="仿宋" w:hAnsi="仿宋" w:eastAsia="仿宋" w:cs="仿宋"/>
          <w:sz w:val="28"/>
          <w:szCs w:val="28"/>
        </w:rPr>
        <w:t>进行干预</w:t>
      </w:r>
      <w:r>
        <w:rPr>
          <w:rStyle w:val="14"/>
          <w:rFonts w:ascii="仿宋" w:hAnsi="仿宋" w:eastAsia="仿宋" w:cs="仿宋"/>
          <w:sz w:val="28"/>
          <w:szCs w:val="28"/>
        </w:rPr>
        <w:footnoteReference w:id="3"/>
      </w:r>
      <w:r>
        <w:rPr>
          <w:rFonts w:hint="eastAsia" w:ascii="仿宋" w:hAnsi="仿宋" w:eastAsia="仿宋" w:cs="仿宋"/>
          <w:sz w:val="28"/>
          <w:szCs w:val="28"/>
        </w:rPr>
        <w:t>。工作体系如下图所示：</w:t>
      </w:r>
    </w:p>
    <w:p>
      <w:pPr>
        <w:spacing w:line="360" w:lineRule="auto"/>
        <w:jc w:val="both"/>
        <w:rPr>
          <w:rFonts w:hint="eastAsia" w:ascii="仿宋" w:hAnsi="仿宋" w:eastAsia="仿宋" w:cs="仿宋"/>
          <w:sz w:val="28"/>
          <w:szCs w:val="28"/>
        </w:rPr>
      </w:pPr>
      <w:r>
        <w:drawing>
          <wp:inline distT="0" distB="0" distL="114300" distR="114300">
            <wp:extent cx="6075045" cy="2420620"/>
            <wp:effectExtent l="0" t="0" r="1905" b="177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
                    <a:stretch>
                      <a:fillRect/>
                    </a:stretch>
                  </pic:blipFill>
                  <pic:spPr>
                    <a:xfrm>
                      <a:off x="0" y="0"/>
                      <a:ext cx="6075045" cy="2420620"/>
                    </a:xfrm>
                    <a:prstGeom prst="rect">
                      <a:avLst/>
                    </a:prstGeom>
                    <a:noFill/>
                    <a:ln>
                      <a:noFill/>
                    </a:ln>
                  </pic:spPr>
                </pic:pic>
              </a:graphicData>
            </a:graphic>
          </wp:inline>
        </w:drawing>
      </w:r>
    </w:p>
    <w:p>
      <w:pPr>
        <w:spacing w:line="360" w:lineRule="auto"/>
        <w:jc w:val="center"/>
        <w:rPr>
          <w:rFonts w:ascii="仿宋" w:hAnsi="仿宋" w:eastAsia="仿宋" w:cs="仿宋"/>
          <w:sz w:val="28"/>
          <w:szCs w:val="28"/>
        </w:rPr>
      </w:pP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一、普遍性预防的探索与实践</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1、深化心理健康教育课程建设，提升学生的积极心理品质</w:t>
      </w:r>
    </w:p>
    <w:p>
      <w:pPr>
        <w:spacing w:line="360" w:lineRule="auto"/>
        <w:ind w:firstLine="560" w:firstLineChars="200"/>
        <w:rPr>
          <w:rFonts w:ascii="仿宋_GB2312" w:hAnsi="仿宋_GB2312" w:eastAsia="仿宋_GB2312" w:cs="仿宋_GB2312"/>
          <w:sz w:val="28"/>
          <w:szCs w:val="28"/>
        </w:rPr>
      </w:pPr>
      <w:r>
        <w:rPr>
          <w:rFonts w:hint="eastAsia" w:ascii="仿宋_GB2312" w:eastAsia="仿宋_GB2312"/>
          <w:sz w:val="28"/>
          <w:szCs w:val="28"/>
        </w:rPr>
        <w:t>防范心理危机的根本在于预防，预防的根本在于充分发挥心理健康教育课程的主渠道作用，提升学生的积极赋义能力，培养学生的积极心理品质。基于此，根据深圳学生的特点，以积极心理学为理论基础，我们组织编写了《积极心理活动课操作指南》（小学分册、初中分册、高中分册）作为地方课程资源性读本，用于指导开展学校的心理健康教育课程。该书将</w:t>
      </w:r>
      <w:r>
        <w:rPr>
          <w:rFonts w:hint="eastAsia" w:ascii="仿宋_GB2312" w:hAnsi="华文细黑" w:eastAsia="仿宋_GB2312"/>
          <w:bCs/>
          <w:sz w:val="28"/>
          <w:szCs w:val="28"/>
        </w:rPr>
        <w:t>24种积极心理品质整合在</w:t>
      </w:r>
      <w:r>
        <w:rPr>
          <w:rFonts w:hint="eastAsia" w:ascii="仿宋_GB2312" w:eastAsia="仿宋_GB2312"/>
          <w:sz w:val="28"/>
          <w:szCs w:val="28"/>
        </w:rPr>
        <w:t>中小学生需</w:t>
      </w:r>
      <w:r>
        <w:rPr>
          <w:rFonts w:hint="eastAsia" w:ascii="仿宋_GB2312" w:hAnsi="华文细黑" w:eastAsia="仿宋_GB2312"/>
          <w:bCs/>
          <w:sz w:val="28"/>
          <w:szCs w:val="28"/>
        </w:rPr>
        <w:t>要面对的生活事件和成长内容中，使其贯穿在一个人成长的精神生活和社会生活过程中，从而铺设了一条培养积极人格的主线。该系列丛书深受一线心理教师和班主任欢迎，使用效果良好，也是很多班主任开展心理班会课的重要参考用书。</w:t>
      </w:r>
    </w:p>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4232275" cy="3174365"/>
            <wp:effectExtent l="0" t="0" r="15875" b="6985"/>
            <wp:docPr id="23" name="图片 23" descr="82aa790875d325f61eed606e89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2aa790875d325f61eed606e8925651"/>
                    <pic:cNvPicPr>
                      <a:picLocks noChangeAspect="1"/>
                    </pic:cNvPicPr>
                  </pic:nvPicPr>
                  <pic:blipFill>
                    <a:blip r:embed="rId7"/>
                    <a:stretch>
                      <a:fillRect/>
                    </a:stretch>
                  </pic:blipFill>
                  <pic:spPr>
                    <a:xfrm>
                      <a:off x="0" y="0"/>
                      <a:ext cx="4232275" cy="3174365"/>
                    </a:xfrm>
                    <a:prstGeom prst="rect">
                      <a:avLst/>
                    </a:prstGeom>
                  </pic:spPr>
                </pic:pic>
              </a:graphicData>
            </a:graphic>
          </wp:inline>
        </w:drawing>
      </w:r>
    </w:p>
    <w:p>
      <w:pPr>
        <w:spacing w:line="360" w:lineRule="auto"/>
        <w:jc w:val="center"/>
        <w:rPr>
          <w:rFonts w:asciiTheme="minorEastAsia" w:hAnsiTheme="minorEastAsia" w:cstheme="minorEastAsia"/>
          <w:sz w:val="28"/>
          <w:szCs w:val="28"/>
        </w:rPr>
      </w:pPr>
      <w:r>
        <w:rPr>
          <w:rFonts w:hint="eastAsia" w:asciiTheme="minorEastAsia" w:hAnsiTheme="minorEastAsia" w:cstheme="minorEastAsia"/>
          <w:sz w:val="28"/>
          <w:szCs w:val="28"/>
        </w:rPr>
        <w:t>《积极心理活动课操作指南》</w:t>
      </w:r>
    </w:p>
    <w:p>
      <w:pPr>
        <w:spacing w:line="360" w:lineRule="auto"/>
        <w:jc w:val="center"/>
        <w:rPr>
          <w:rFonts w:asciiTheme="minorEastAsia" w:hAnsiTheme="minorEastAsia" w:cstheme="minorEastAsia"/>
          <w:sz w:val="28"/>
          <w:szCs w:val="28"/>
        </w:rPr>
      </w:pPr>
      <w:r>
        <w:drawing>
          <wp:inline distT="0" distB="0" distL="114300" distR="114300">
            <wp:extent cx="3504565" cy="2411095"/>
            <wp:effectExtent l="0" t="0" r="635"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3504565" cy="2411095"/>
                    </a:xfrm>
                    <a:prstGeom prst="rect">
                      <a:avLst/>
                    </a:prstGeom>
                    <a:noFill/>
                    <a:ln>
                      <a:noFill/>
                    </a:ln>
                  </pic:spPr>
                </pic:pic>
              </a:graphicData>
            </a:graphic>
          </wp:inline>
        </w:drawing>
      </w:r>
    </w:p>
    <w:p>
      <w:pPr>
        <w:spacing w:line="360" w:lineRule="auto"/>
        <w:ind w:left="560"/>
        <w:rPr>
          <w:rFonts w:ascii="黑体" w:hAnsi="黑体" w:eastAsia="黑体" w:cs="黑体"/>
          <w:sz w:val="28"/>
          <w:szCs w:val="28"/>
        </w:rPr>
      </w:pPr>
      <w:r>
        <w:rPr>
          <w:rFonts w:hint="eastAsia" w:ascii="黑体" w:hAnsi="黑体" w:eastAsia="黑体" w:cs="黑体"/>
          <w:sz w:val="28"/>
          <w:szCs w:val="28"/>
        </w:rPr>
        <w:t>2、开发心理危机应对的系列实操课程，提升中小学教师的识别与预警的意识和能力。</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一线教师和班主任对于心理危机的识别能力和预警意识，是防范心理危机的核心要素之一。因此，我们开发了面向一线教师和班主任的校园心理危机应对的系列实操课程，包括网络时代</w:t>
      </w:r>
      <w:r>
        <w:rPr>
          <w:rFonts w:hint="eastAsia" w:ascii="仿宋_GB2312" w:eastAsia="仿宋_GB2312"/>
          <w:sz w:val="28"/>
          <w:szCs w:val="28"/>
          <w:lang w:eastAsia="zh-CN"/>
        </w:rPr>
        <w:t>中小学生</w:t>
      </w:r>
      <w:r>
        <w:rPr>
          <w:rFonts w:hint="eastAsia" w:ascii="仿宋_GB2312" w:eastAsia="仿宋_GB2312"/>
          <w:sz w:val="28"/>
          <w:szCs w:val="28"/>
        </w:rPr>
        <w:t>的心理特点、校园心理危机的识别与预警、校园心理危机有效应对流程、校园心理危机“三预”工作系统的构建等课程，从2017年起对全市中小学教师、尤其是班主任进行普及性培训，提升中小学教师对于心理危机识别、预警的意识和能力，所到学校好评如潮，深受学校和教师欢迎。该系列培训课程已成为深圳市教师继续教育心理教育特色项目。</w:t>
      </w:r>
    </w:p>
    <w:p>
      <w:pPr>
        <w:spacing w:line="360" w:lineRule="auto"/>
        <w:ind w:firstLine="420" w:firstLineChars="200"/>
      </w:pPr>
      <w:r>
        <w:drawing>
          <wp:inline distT="0" distB="0" distL="114300" distR="114300">
            <wp:extent cx="5114925" cy="2009775"/>
            <wp:effectExtent l="0" t="0" r="9525"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5114925" cy="2009775"/>
                    </a:xfrm>
                    <a:prstGeom prst="rect">
                      <a:avLst/>
                    </a:prstGeom>
                    <a:noFill/>
                    <a:ln>
                      <a:noFill/>
                    </a:ln>
                  </pic:spPr>
                </pic:pic>
              </a:graphicData>
            </a:graphic>
          </wp:inline>
        </w:drawing>
      </w:r>
    </w:p>
    <w:p>
      <w:pPr>
        <w:spacing w:line="360" w:lineRule="auto"/>
        <w:ind w:firstLine="420" w:firstLineChars="200"/>
      </w:pPr>
    </w:p>
    <w:p>
      <w:pPr>
        <w:spacing w:line="360" w:lineRule="auto"/>
        <w:jc w:val="center"/>
        <w:rPr>
          <w:rFonts w:ascii="仿宋_GB2312" w:eastAsia="仿宋_GB2312"/>
          <w:sz w:val="28"/>
          <w:szCs w:val="28"/>
        </w:rPr>
      </w:pPr>
      <w:r>
        <w:rPr>
          <w:rFonts w:hint="eastAsia" w:ascii="仿宋_GB2312" w:eastAsia="仿宋_GB2312"/>
          <w:sz w:val="28"/>
          <w:szCs w:val="28"/>
        </w:rPr>
        <w:drawing>
          <wp:inline distT="0" distB="0" distL="114300" distR="114300">
            <wp:extent cx="4371975" cy="2114550"/>
            <wp:effectExtent l="0" t="0" r="9525" b="0"/>
            <wp:docPr id="15" name="图片 15" descr="三预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三预讲座"/>
                    <pic:cNvPicPr>
                      <a:picLocks noChangeAspect="1"/>
                    </pic:cNvPicPr>
                  </pic:nvPicPr>
                  <pic:blipFill>
                    <a:blip r:embed="rId10"/>
                    <a:stretch>
                      <a:fillRect/>
                    </a:stretch>
                  </pic:blipFill>
                  <pic:spPr>
                    <a:xfrm>
                      <a:off x="0" y="0"/>
                      <a:ext cx="4371975" cy="2114550"/>
                    </a:xfrm>
                    <a:prstGeom prst="rect">
                      <a:avLst/>
                    </a:prstGeom>
                  </pic:spPr>
                </pic:pic>
              </a:graphicData>
            </a:graphic>
          </wp:inline>
        </w:drawing>
      </w:r>
    </w:p>
    <w:p>
      <w:pPr>
        <w:spacing w:line="360" w:lineRule="auto"/>
        <w:jc w:val="center"/>
        <w:rPr>
          <w:rFonts w:asciiTheme="minorEastAsia" w:hAnsiTheme="minorEastAsia" w:cstheme="minorEastAsia"/>
          <w:sz w:val="28"/>
          <w:szCs w:val="28"/>
        </w:rPr>
      </w:pPr>
      <w:r>
        <w:rPr>
          <w:rFonts w:hint="eastAsia" w:asciiTheme="minorEastAsia" w:hAnsiTheme="minorEastAsia" w:cstheme="minorEastAsia"/>
          <w:sz w:val="28"/>
          <w:szCs w:val="28"/>
        </w:rPr>
        <w:t>校园心理危机“三预</w:t>
      </w:r>
      <w:r>
        <w:rPr>
          <w:rFonts w:asciiTheme="minorEastAsia" w:hAnsiTheme="minorEastAsia" w:cstheme="minorEastAsia"/>
          <w:sz w:val="28"/>
          <w:szCs w:val="28"/>
        </w:rPr>
        <w:t>”</w:t>
      </w:r>
      <w:r>
        <w:rPr>
          <w:rFonts w:hint="eastAsia" w:asciiTheme="minorEastAsia" w:hAnsiTheme="minorEastAsia" w:cstheme="minorEastAsia"/>
          <w:sz w:val="28"/>
          <w:szCs w:val="28"/>
        </w:rPr>
        <w:t>培训讲座现场</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3、各部门加大心理教师专项培训，提升心理教师的专业技能</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心理教师是学校心理健康教育的中枢，心理教师的专业性是预防心理危机的核心要素之一。因此，我们开展多层次的心理教师专业培训，推动中小学心理教师专业化成长，提升心理教师防范心理危机的专业技能。此外，与市委组织部、市委党校合作举办了“</w:t>
      </w:r>
      <w:r>
        <w:rPr>
          <w:rFonts w:hint="eastAsia" w:ascii="仿宋_GB2312" w:eastAsia="仿宋_GB2312"/>
          <w:sz w:val="28"/>
          <w:szCs w:val="28"/>
          <w:lang w:eastAsia="zh-CN"/>
        </w:rPr>
        <w:t>中小学生</w:t>
      </w:r>
      <w:r>
        <w:rPr>
          <w:rFonts w:hint="eastAsia" w:ascii="仿宋_GB2312" w:eastAsia="仿宋_GB2312"/>
          <w:sz w:val="28"/>
          <w:szCs w:val="28"/>
        </w:rPr>
        <w:t>心理健康服务体系建设能力提升研修班”，</w:t>
      </w:r>
      <w:r>
        <w:rPr>
          <w:rFonts w:hint="eastAsia" w:ascii="仿宋_GB2312" w:hAnsi="仿宋_GB2312" w:eastAsia="仿宋_GB2312" w:cs="仿宋_GB2312"/>
          <w:sz w:val="28"/>
          <w:szCs w:val="28"/>
        </w:rPr>
        <w:t>与市卫建委合作举办“心理危机干预能力培训班”并开通网络直播课程，全市共有近千名心理教师参与学习心理危机干预技术与策略、危机干预热线、哀伤辅导等专题内容。同时，</w:t>
      </w:r>
      <w:r>
        <w:rPr>
          <w:rFonts w:hint="eastAsia" w:ascii="仿宋_GB2312" w:eastAsia="仿宋_GB2312"/>
          <w:sz w:val="28"/>
          <w:szCs w:val="28"/>
        </w:rPr>
        <w:t>分成4个批次，对全市470名民办中小学专（兼）职心理健康教师进行全员专项培训，全面提升民办中小学心理教师专业素养。50名骨干心理教师参加了教育部基础教育司开办的2020年全国中小学德育骨干、班主任和心理健康教育教师网络培训师范班，经严格考核后所有学员均获得培训结业证书。</w:t>
      </w:r>
    </w:p>
    <w:p>
      <w:pPr>
        <w:spacing w:line="360" w:lineRule="auto"/>
        <w:jc w:val="center"/>
        <w:rPr>
          <w:rFonts w:ascii="仿宋_GB2312" w:eastAsia="仿宋_GB2312"/>
          <w:sz w:val="28"/>
          <w:szCs w:val="28"/>
        </w:rPr>
      </w:pPr>
      <w:r>
        <w:rPr>
          <w:rFonts w:ascii="仿宋_GB2312" w:eastAsia="仿宋_GB2312"/>
          <w:sz w:val="28"/>
          <w:szCs w:val="28"/>
        </w:rPr>
        <w:drawing>
          <wp:inline distT="0" distB="0" distL="0" distR="0">
            <wp:extent cx="5273675" cy="2066925"/>
            <wp:effectExtent l="0" t="0" r="317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3675" cy="2066925"/>
                    </a:xfrm>
                    <a:prstGeom prst="rect">
                      <a:avLst/>
                    </a:prstGeom>
                    <a:noFill/>
                  </pic:spPr>
                </pic:pic>
              </a:graphicData>
            </a:graphic>
          </wp:inline>
        </w:drawing>
      </w:r>
      <w:r>
        <w:drawing>
          <wp:inline distT="0" distB="0" distL="114300" distR="114300">
            <wp:extent cx="4914900" cy="1443355"/>
            <wp:effectExtent l="0" t="0" r="0" b="444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2"/>
                    <a:stretch>
                      <a:fillRect/>
                    </a:stretch>
                  </pic:blipFill>
                  <pic:spPr>
                    <a:xfrm>
                      <a:off x="0" y="0"/>
                      <a:ext cx="4914900" cy="1443355"/>
                    </a:xfrm>
                    <a:prstGeom prst="rect">
                      <a:avLst/>
                    </a:prstGeom>
                    <a:noFill/>
                    <a:ln>
                      <a:noFill/>
                    </a:ln>
                  </pic:spPr>
                </pic:pic>
              </a:graphicData>
            </a:graphic>
          </wp:inline>
        </w:drawing>
      </w:r>
    </w:p>
    <w:p>
      <w:pPr>
        <w:spacing w:line="360" w:lineRule="auto"/>
        <w:ind w:firstLine="420" w:firstLineChars="200"/>
        <w:jc w:val="center"/>
        <w:rPr>
          <w:rFonts w:ascii="仿宋_GB2312" w:eastAsia="仿宋_GB2312"/>
          <w:sz w:val="28"/>
          <w:szCs w:val="28"/>
        </w:rPr>
      </w:pPr>
      <w:r>
        <w:drawing>
          <wp:inline distT="0" distB="0" distL="114300" distR="114300">
            <wp:extent cx="4799965" cy="1934845"/>
            <wp:effectExtent l="0" t="0" r="635"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4799965" cy="1934845"/>
                    </a:xfrm>
                    <a:prstGeom prst="rect">
                      <a:avLst/>
                    </a:prstGeom>
                    <a:noFill/>
                    <a:ln>
                      <a:noFill/>
                    </a:ln>
                  </pic:spPr>
                </pic:pic>
              </a:graphicData>
            </a:graphic>
          </wp:inline>
        </w:drawing>
      </w:r>
      <w:r>
        <w:rPr>
          <w:rFonts w:hint="eastAsia" w:ascii="仿宋_GB2312" w:eastAsia="仿宋_GB2312"/>
          <w:sz w:val="28"/>
          <w:szCs w:val="28"/>
        </w:rPr>
        <w:t xml:space="preserve"> </w:t>
      </w:r>
      <w:r>
        <w:rPr>
          <w:rFonts w:hint="eastAsia" w:ascii="仿宋_GB2312" w:eastAsia="仿宋_GB2312"/>
          <w:sz w:val="28"/>
          <w:szCs w:val="28"/>
        </w:rPr>
        <w:drawing>
          <wp:inline distT="0" distB="0" distL="114300" distR="114300">
            <wp:extent cx="4846955" cy="2365375"/>
            <wp:effectExtent l="0" t="0" r="10795" b="15875"/>
            <wp:docPr id="16" name="图片 16" descr="8eee9562f2d4a4911a3a8886637e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eee9562f2d4a4911a3a8886637e292"/>
                    <pic:cNvPicPr>
                      <a:picLocks noChangeAspect="1"/>
                    </pic:cNvPicPr>
                  </pic:nvPicPr>
                  <pic:blipFill>
                    <a:blip r:embed="rId14"/>
                    <a:stretch>
                      <a:fillRect/>
                    </a:stretch>
                  </pic:blipFill>
                  <pic:spPr>
                    <a:xfrm>
                      <a:off x="0" y="0"/>
                      <a:ext cx="4846955" cy="2365375"/>
                    </a:xfrm>
                    <a:prstGeom prst="rect">
                      <a:avLst/>
                    </a:prstGeom>
                  </pic:spPr>
                </pic:pic>
              </a:graphicData>
            </a:graphic>
          </wp:inline>
        </w:drawing>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4、建立校领导包干负责制的三级心理筛查、跟进、辅导体系</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建立校领导包干负责制的三级心理筛查体系：以心理老师为主导的基础性心理筛查（形式可以多样）、以班主任为核心的重点人群筛查（重点关注学生的身体、情绪状况、关系系统、生活事件、压力状态等因素）、以心理老师为主导的高危学生访谈筛查（包括转介、休学、复学的评估）的三级心理筛查体系，通过形式多样的筛查方式，尤其重视重要时间节点（比如考试前、开学前等）的心理筛查，做到心理风险的全面覆盖、全程跟进、全员关注，尽可能降低学生心理危机的发生几率。筛查出来的重点学生名单由校领导包干，成立工作组，实行学校和家长的联系会议制度，做到一人一册，严密跟进，定期辅导，防微杜渐，不留死角。另外，制定班主任与心理教师联合家访的工作制度，对重点关注的学生进行深度家访，了解学生家庭情况和压力状态，紧密家校关系，携手共促学生健康成长。</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5、建设朋辈心理社团和心理委员制度，通过“学习强国”等平台加大宣传力度，充分发挥学生朋辈互助团体的作用</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朋辈是心理危机最敏感的神经末梢，往往最先知道一场危机事件的发生。深圳市教育局发文要求每所学校成立朋辈心理社团，并且每个班级选出一男一女心理委员，住宿制学校一舍一信息员。深圳市教育科学研究院专门研发了面向朋辈心理社团和心理委员的系列培训课程，协助并指导学校心理老师建设朋辈心理社团，完善心理委员的工作制度，将心理朋辈社团和心理委员打造成为学校心理危机预防机制的第一道防线。目前，朋辈心理社团和心理委员已经成为校园最活跃、最温暖、最灵敏、反应最迅速的心灵卫士，依靠这些学生团体，已经成功地预警并干预了多起心理危机事件，挽救了很多</w:t>
      </w:r>
      <w:r>
        <w:rPr>
          <w:rFonts w:hint="eastAsia" w:ascii="仿宋_GB2312" w:eastAsia="仿宋_GB2312"/>
          <w:sz w:val="28"/>
          <w:szCs w:val="28"/>
          <w:lang w:eastAsia="zh-CN"/>
        </w:rPr>
        <w:t>中小学生</w:t>
      </w:r>
      <w:r>
        <w:rPr>
          <w:rFonts w:hint="eastAsia" w:ascii="仿宋_GB2312" w:eastAsia="仿宋_GB2312"/>
          <w:sz w:val="28"/>
          <w:szCs w:val="28"/>
        </w:rPr>
        <w:t>的生命。</w:t>
      </w:r>
    </w:p>
    <w:p>
      <w:pPr>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同时，加强宣传力度，深圳市教育局与中共深圳市宣传部合作拍摄生命教育课宣传片《成长路上，你不孤单》，通过一个个学生故事再现学生心理困扰，宣传心理危机识别与预警的知识，并给出心理求助的策略和途径，同时进行了保密例外等教育，帮助学生澄清什么秘密可以保守，什么秘密要及时报告，该宣传片近期将发布在“学习强国”深圳学习平台。</w:t>
      </w:r>
    </w:p>
    <w:p>
      <w:pPr>
        <w:spacing w:line="360" w:lineRule="auto"/>
        <w:jc w:val="center"/>
        <w:rPr>
          <w:rFonts w:ascii="仿宋_GB2312" w:eastAsia="仿宋_GB2312"/>
          <w:sz w:val="28"/>
          <w:szCs w:val="28"/>
        </w:rPr>
      </w:pPr>
      <w:r>
        <w:rPr>
          <w:rFonts w:ascii="仿宋_GB2312" w:eastAsia="仿宋_GB2312"/>
          <w:sz w:val="28"/>
          <w:szCs w:val="28"/>
        </w:rPr>
        <w:drawing>
          <wp:inline distT="0" distB="0" distL="114300" distR="114300">
            <wp:extent cx="3724275" cy="1962150"/>
            <wp:effectExtent l="0" t="0" r="9525" b="0"/>
            <wp:docPr id="11" name="图片 11" descr="SYM`4E2S)XJA]INSP$ZMV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YM`4E2S)XJA]INSP$ZMV0I"/>
                    <pic:cNvPicPr>
                      <a:picLocks noChangeAspect="1"/>
                    </pic:cNvPicPr>
                  </pic:nvPicPr>
                  <pic:blipFill>
                    <a:blip r:embed="rId15"/>
                    <a:stretch>
                      <a:fillRect/>
                    </a:stretch>
                  </pic:blipFill>
                  <pic:spPr>
                    <a:xfrm>
                      <a:off x="0" y="0"/>
                      <a:ext cx="3760663" cy="1981321"/>
                    </a:xfrm>
                    <a:prstGeom prst="roundRect">
                      <a:avLst/>
                    </a:prstGeom>
                  </pic:spPr>
                </pic:pic>
              </a:graphicData>
            </a:graphic>
          </wp:inline>
        </w:drawing>
      </w:r>
    </w:p>
    <w:p>
      <w:pPr>
        <w:spacing w:line="360" w:lineRule="auto"/>
        <w:jc w:val="center"/>
        <w:rPr>
          <w:rFonts w:hint="eastAsia" w:asciiTheme="minorEastAsia" w:hAnsiTheme="minorEastAsia" w:cstheme="minorEastAsia"/>
          <w:sz w:val="28"/>
          <w:szCs w:val="28"/>
        </w:rPr>
      </w:pPr>
      <w:r>
        <w:rPr>
          <w:rFonts w:hint="eastAsia" w:asciiTheme="minorEastAsia" w:hAnsiTheme="minorEastAsia" w:cstheme="minorEastAsia"/>
          <w:sz w:val="28"/>
          <w:szCs w:val="28"/>
        </w:rPr>
        <w:t>朋辈辅导培训现场</w:t>
      </w:r>
    </w:p>
    <w:p>
      <w:pPr>
        <w:spacing w:line="360" w:lineRule="auto"/>
        <w:jc w:val="center"/>
        <w:rPr>
          <w:rFonts w:ascii="仿宋_GB2312" w:eastAsia="仿宋_GB2312"/>
          <w:sz w:val="28"/>
          <w:szCs w:val="28"/>
        </w:rPr>
      </w:pPr>
      <w:r>
        <w:rPr>
          <w:rFonts w:ascii="仿宋_GB2312" w:eastAsia="仿宋_GB2312"/>
          <w:sz w:val="28"/>
          <w:szCs w:val="28"/>
        </w:rPr>
        <w:drawing>
          <wp:inline distT="0" distB="0" distL="0" distR="0">
            <wp:extent cx="3705225" cy="207899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05225" cy="2078990"/>
                    </a:xfrm>
                    <a:prstGeom prst="rect">
                      <a:avLst/>
                    </a:prstGeom>
                    <a:noFill/>
                  </pic:spPr>
                </pic:pic>
              </a:graphicData>
            </a:graphic>
          </wp:inline>
        </w:drawing>
      </w:r>
    </w:p>
    <w:p>
      <w:pPr>
        <w:spacing w:line="360" w:lineRule="auto"/>
        <w:jc w:val="center"/>
        <w:rPr>
          <w:rFonts w:asciiTheme="minorEastAsia" w:hAnsiTheme="minorEastAsia" w:cstheme="minorEastAsia"/>
          <w:sz w:val="28"/>
          <w:szCs w:val="28"/>
        </w:rPr>
      </w:pPr>
      <w:r>
        <w:rPr>
          <w:rFonts w:hint="eastAsia" w:asciiTheme="minorEastAsia" w:hAnsiTheme="minorEastAsia" w:cstheme="minorEastAsia"/>
          <w:sz w:val="28"/>
          <w:szCs w:val="28"/>
        </w:rPr>
        <w:t>生命教育宣传片</w:t>
      </w:r>
    </w:p>
    <w:p>
      <w:pPr>
        <w:spacing w:line="360" w:lineRule="auto"/>
        <w:ind w:firstLine="560" w:firstLineChars="200"/>
        <w:rPr>
          <w:rFonts w:hint="eastAsia" w:ascii="黑体" w:hAnsi="黑体" w:eastAsia="黑体" w:cs="黑体"/>
          <w:sz w:val="28"/>
          <w:szCs w:val="28"/>
        </w:rPr>
      </w:pPr>
      <w:r>
        <w:rPr>
          <w:rFonts w:hint="eastAsia" w:ascii="黑体" w:hAnsi="黑体" w:eastAsia="黑体" w:cs="黑体"/>
          <w:sz w:val="28"/>
          <w:szCs w:val="28"/>
        </w:rPr>
        <w:t>6、携手</w:t>
      </w:r>
      <w:r>
        <w:rPr>
          <w:rFonts w:ascii="黑体" w:hAnsi="黑体" w:eastAsia="黑体" w:cs="黑体"/>
          <w:sz w:val="28"/>
          <w:szCs w:val="28"/>
        </w:rPr>
        <w:t>家校</w:t>
      </w:r>
      <w:r>
        <w:rPr>
          <w:rFonts w:hint="eastAsia" w:ascii="黑体" w:hAnsi="黑体" w:eastAsia="黑体" w:cs="黑体"/>
          <w:sz w:val="28"/>
          <w:szCs w:val="28"/>
        </w:rPr>
        <w:t>合作，共同捍卫学生的心理安全</w:t>
      </w:r>
    </w:p>
    <w:p>
      <w:pPr>
        <w:spacing w:line="360" w:lineRule="auto"/>
        <w:ind w:firstLine="560" w:firstLineChars="200"/>
        <w:rPr>
          <w:rFonts w:ascii="仿宋_GB2312" w:eastAsia="仿宋_GB2312"/>
          <w:sz w:val="28"/>
          <w:szCs w:val="28"/>
        </w:rPr>
      </w:pPr>
      <w:r>
        <w:rPr>
          <w:rFonts w:hint="eastAsia" w:ascii="仿宋_GB2312" w:hAnsi="仿宋_GB2312" w:eastAsia="仿宋_GB2312" w:cs="仿宋_GB2312"/>
          <w:sz w:val="28"/>
          <w:szCs w:val="28"/>
        </w:rPr>
        <w:t>家庭往往是</w:t>
      </w:r>
      <w:r>
        <w:rPr>
          <w:rFonts w:hint="eastAsia" w:ascii="仿宋_GB2312" w:hAnsi="仿宋_GB2312" w:eastAsia="仿宋_GB2312" w:cs="仿宋_GB2312"/>
          <w:sz w:val="28"/>
          <w:szCs w:val="28"/>
          <w:lang w:eastAsia="zh-CN"/>
        </w:rPr>
        <w:t>中小学生</w:t>
      </w:r>
      <w:r>
        <w:rPr>
          <w:rFonts w:hint="eastAsia" w:ascii="仿宋_GB2312" w:hAnsi="仿宋_GB2312" w:eastAsia="仿宋_GB2312" w:cs="仿宋_GB2312"/>
          <w:sz w:val="28"/>
          <w:szCs w:val="28"/>
        </w:rPr>
        <w:t>心理危机发生的根源，提升家长科学教子的水平和能力，增强家长对</w:t>
      </w:r>
      <w:r>
        <w:rPr>
          <w:rFonts w:hint="eastAsia" w:ascii="仿宋_GB2312" w:hAnsi="仿宋_GB2312" w:eastAsia="仿宋_GB2312" w:cs="仿宋_GB2312"/>
          <w:sz w:val="28"/>
          <w:szCs w:val="28"/>
          <w:lang w:eastAsia="zh-CN"/>
        </w:rPr>
        <w:t>中小学生</w:t>
      </w:r>
      <w:r>
        <w:rPr>
          <w:rFonts w:hint="eastAsia" w:ascii="仿宋_GB2312" w:hAnsi="仿宋_GB2312" w:eastAsia="仿宋_GB2312" w:cs="仿宋_GB2312"/>
          <w:sz w:val="28"/>
          <w:szCs w:val="28"/>
        </w:rPr>
        <w:t>心理危机的理解、识别与预警的意识，就显得相当重要。我们借助“线上”+“线下”相结合的服务形式，从2006年起</w:t>
      </w:r>
      <w:r>
        <w:rPr>
          <w:rFonts w:hint="eastAsia" w:ascii="仿宋_GB2312" w:eastAsia="仿宋_GB2312"/>
          <w:sz w:val="28"/>
          <w:szCs w:val="28"/>
        </w:rPr>
        <w:t>持续开展“心灵关爱社区行”活动，提供超过1</w:t>
      </w:r>
      <w:r>
        <w:rPr>
          <w:rFonts w:ascii="仿宋_GB2312" w:eastAsia="仿宋_GB2312"/>
          <w:sz w:val="28"/>
          <w:szCs w:val="28"/>
        </w:rPr>
        <w:t>00</w:t>
      </w:r>
      <w:r>
        <w:rPr>
          <w:rFonts w:hint="eastAsia" w:ascii="仿宋_GB2312" w:eastAsia="仿宋_GB2312"/>
          <w:sz w:val="28"/>
          <w:szCs w:val="28"/>
        </w:rPr>
        <w:t>多种家庭教育课程，向广大家长宣传科学的家庭教育理念和有效的教育方法，提高家庭教育的科学性和实效性，其中“如何在家庭中识别孩子的心理危机”、“陪伴青春期孩子走过危机”等课程深受家长欢迎。通过在腾讯课堂网站“素养课堂”开设“心理与家庭教育”专栏，向广大家长朋友宣传科学育儿知识，目前已推送14场心理与家庭教育主题的讲座。</w:t>
      </w:r>
      <w:r>
        <w:rPr>
          <w:rFonts w:ascii="仿宋_GB2312" w:hAnsi="仿宋_GB2312" w:eastAsia="仿宋_GB2312" w:cs="仿宋_GB2312"/>
          <w:sz w:val="28"/>
          <w:szCs w:val="28"/>
        </w:rPr>
        <w:t>与</w:t>
      </w:r>
      <w:r>
        <w:rPr>
          <w:rFonts w:hint="eastAsia" w:ascii="仿宋_GB2312" w:hAnsi="仿宋_GB2312" w:eastAsia="仿宋_GB2312" w:cs="仿宋_GB2312"/>
          <w:sz w:val="28"/>
          <w:szCs w:val="28"/>
        </w:rPr>
        <w:t>深圳市广播电视</w:t>
      </w:r>
      <w:r>
        <w:rPr>
          <w:rFonts w:ascii="仿宋_GB2312" w:eastAsia="仿宋_GB2312"/>
          <w:sz w:val="28"/>
          <w:szCs w:val="28"/>
        </w:rPr>
        <w:t>集团合作开展</w:t>
      </w:r>
      <w:r>
        <w:rPr>
          <w:rFonts w:hint="eastAsia" w:ascii="仿宋_GB2312" w:eastAsia="仿宋_GB2312"/>
          <w:sz w:val="28"/>
          <w:szCs w:val="28"/>
        </w:rPr>
        <w:t>“</w:t>
      </w:r>
      <w:r>
        <w:rPr>
          <w:rFonts w:ascii="仿宋_GB2312" w:eastAsia="仿宋_GB2312"/>
          <w:sz w:val="28"/>
          <w:szCs w:val="28"/>
        </w:rPr>
        <w:t>家庭教育大讲坛</w:t>
      </w:r>
      <w:r>
        <w:rPr>
          <w:rFonts w:hint="eastAsia" w:ascii="仿宋_GB2312" w:eastAsia="仿宋_GB2312"/>
          <w:sz w:val="28"/>
          <w:szCs w:val="28"/>
        </w:rPr>
        <w:t>”活动</w:t>
      </w:r>
      <w:r>
        <w:rPr>
          <w:rFonts w:ascii="仿宋_GB2312" w:eastAsia="仿宋_GB2312"/>
          <w:sz w:val="28"/>
          <w:szCs w:val="28"/>
        </w:rPr>
        <w:t>，每月在娱乐生活频道播放1期</w:t>
      </w:r>
      <w:r>
        <w:rPr>
          <w:rFonts w:hint="eastAsia" w:ascii="仿宋_GB2312" w:eastAsia="仿宋_GB2312"/>
          <w:sz w:val="28"/>
          <w:szCs w:val="28"/>
        </w:rPr>
        <w:t>家庭教育</w:t>
      </w:r>
      <w:r>
        <w:rPr>
          <w:rFonts w:ascii="仿宋_GB2312" w:eastAsia="仿宋_GB2312"/>
          <w:sz w:val="28"/>
          <w:szCs w:val="28"/>
        </w:rPr>
        <w:t>公开课</w:t>
      </w:r>
      <w:r>
        <w:rPr>
          <w:rFonts w:hint="eastAsia" w:ascii="仿宋_GB2312" w:eastAsia="仿宋_GB2312"/>
          <w:sz w:val="28"/>
          <w:szCs w:val="28"/>
        </w:rPr>
        <w:t>，至今共开展10期课程，播放量达上千万人次。</w:t>
      </w:r>
    </w:p>
    <w:p>
      <w:pPr>
        <w:autoSpaceDN w:val="0"/>
        <w:adjustRightInd w:val="0"/>
        <w:snapToGrid w:val="0"/>
        <w:spacing w:line="360" w:lineRule="auto"/>
        <w:rPr>
          <w:rFonts w:ascii="仿宋_GB2312" w:eastAsia="仿宋_GB2312"/>
          <w:color w:val="FF0000"/>
          <w:sz w:val="28"/>
          <w:szCs w:val="28"/>
        </w:rPr>
      </w:pPr>
      <w:r>
        <w:rPr>
          <w:rFonts w:hint="eastAsia" w:ascii="仿宋_GB2312" w:eastAsia="仿宋_GB2312"/>
          <w:color w:val="FF0000"/>
          <w:sz w:val="28"/>
          <w:szCs w:val="28"/>
        </w:rPr>
        <w:t xml:space="preserve"> </w:t>
      </w:r>
      <w:r>
        <w:rPr>
          <w:rFonts w:ascii="仿宋_GB2312" w:eastAsia="仿宋_GB2312"/>
          <w:color w:val="FF0000"/>
          <w:sz w:val="28"/>
          <w:szCs w:val="28"/>
        </w:rPr>
        <w:drawing>
          <wp:inline distT="0" distB="0" distL="114300" distR="114300">
            <wp:extent cx="2299335" cy="2160270"/>
            <wp:effectExtent l="0" t="0" r="5715" b="0"/>
            <wp:docPr id="3" name="图片 3" descr="大讲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讲坛"/>
                    <pic:cNvPicPr>
                      <a:picLocks noChangeAspect="1"/>
                    </pic:cNvPicPr>
                  </pic:nvPicPr>
                  <pic:blipFill>
                    <a:blip r:embed="rId17"/>
                    <a:stretch>
                      <a:fillRect/>
                    </a:stretch>
                  </pic:blipFill>
                  <pic:spPr>
                    <a:xfrm>
                      <a:off x="0" y="0"/>
                      <a:ext cx="2303338" cy="2164177"/>
                    </a:xfrm>
                    <a:prstGeom prst="roundRect">
                      <a:avLst/>
                    </a:prstGeom>
                  </pic:spPr>
                </pic:pic>
              </a:graphicData>
            </a:graphic>
          </wp:inline>
        </w:drawing>
      </w:r>
      <w:r>
        <w:rPr>
          <w:rFonts w:hint="eastAsia" w:ascii="仿宋_GB2312" w:eastAsia="仿宋_GB2312"/>
          <w:color w:val="FF0000"/>
          <w:sz w:val="28"/>
          <w:szCs w:val="28"/>
        </w:rPr>
        <w:t xml:space="preserve">    </w:t>
      </w:r>
      <w:r>
        <w:rPr>
          <w:rFonts w:ascii="仿宋_GB2312" w:eastAsia="仿宋_GB2312"/>
          <w:color w:val="FF0000"/>
          <w:sz w:val="28"/>
          <w:szCs w:val="28"/>
        </w:rPr>
        <w:drawing>
          <wp:inline distT="0" distB="0" distL="114300" distR="114300">
            <wp:extent cx="2343150" cy="2155825"/>
            <wp:effectExtent l="0" t="0" r="0" b="0"/>
            <wp:docPr id="2" name="图片 2" descr="素养课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素养课堂"/>
                    <pic:cNvPicPr>
                      <a:picLocks noChangeAspect="1"/>
                    </pic:cNvPicPr>
                  </pic:nvPicPr>
                  <pic:blipFill>
                    <a:blip r:embed="rId18"/>
                    <a:srcRect/>
                    <a:stretch>
                      <a:fillRect/>
                    </a:stretch>
                  </pic:blipFill>
                  <pic:spPr>
                    <a:xfrm>
                      <a:off x="0" y="0"/>
                      <a:ext cx="2346334" cy="2158702"/>
                    </a:xfrm>
                    <a:prstGeom prst="roundRect">
                      <a:avLst/>
                    </a:prstGeom>
                  </pic:spPr>
                </pic:pic>
              </a:graphicData>
            </a:graphic>
          </wp:inline>
        </w:drawing>
      </w:r>
      <w:r>
        <w:rPr>
          <w:rFonts w:hint="eastAsia" w:ascii="仿宋_GB2312" w:eastAsia="仿宋_GB2312"/>
          <w:color w:val="FF0000"/>
          <w:sz w:val="28"/>
          <w:szCs w:val="28"/>
        </w:rPr>
        <w:t xml:space="preserve">              </w:t>
      </w:r>
    </w:p>
    <w:p>
      <w:pPr>
        <w:autoSpaceDN w:val="0"/>
        <w:adjustRightInd w:val="0"/>
        <w:snapToGrid w:val="0"/>
        <w:spacing w:line="360" w:lineRule="auto"/>
        <w:ind w:firstLine="640"/>
        <w:rPr>
          <w:rFonts w:ascii="宋体" w:hAnsi="宋体" w:eastAsia="宋体" w:cs="宋体"/>
          <w:sz w:val="28"/>
          <w:szCs w:val="28"/>
        </w:rPr>
      </w:pPr>
      <w:r>
        <w:rPr>
          <w:rFonts w:hint="eastAsia" w:ascii="宋体" w:hAnsi="宋体" w:eastAsia="宋体" w:cs="宋体"/>
          <w:sz w:val="28"/>
          <w:szCs w:val="28"/>
        </w:rPr>
        <w:t xml:space="preserve">家庭教育大讲坛电视直播 </w:t>
      </w:r>
      <w:r>
        <w:rPr>
          <w:rFonts w:hint="eastAsia" w:ascii="仿宋_GB2312" w:eastAsia="仿宋_GB2312"/>
          <w:color w:val="FF0000"/>
          <w:sz w:val="28"/>
          <w:szCs w:val="28"/>
        </w:rPr>
        <w:t xml:space="preserve">          </w:t>
      </w:r>
      <w:r>
        <w:rPr>
          <w:rFonts w:hint="eastAsia" w:ascii="宋体" w:hAnsi="宋体" w:eastAsia="宋体" w:cs="宋体"/>
          <w:sz w:val="28"/>
          <w:szCs w:val="28"/>
        </w:rPr>
        <w:t>素养课堂家长讲座</w:t>
      </w:r>
    </w:p>
    <w:p>
      <w:pPr>
        <w:widowControl/>
        <w:spacing w:line="360" w:lineRule="auto"/>
        <w:jc w:val="center"/>
        <w:rPr>
          <w:rFonts w:ascii="仿宋_GB2312" w:eastAsia="仿宋_GB2312"/>
          <w:color w:val="FF0000"/>
          <w:sz w:val="28"/>
          <w:szCs w:val="28"/>
        </w:rPr>
      </w:pPr>
      <w:r>
        <w:rPr>
          <w:rFonts w:ascii="仿宋_GB2312" w:eastAsia="仿宋_GB2312"/>
          <w:color w:val="FF0000"/>
          <w:sz w:val="28"/>
          <w:szCs w:val="28"/>
        </w:rPr>
        <w:drawing>
          <wp:inline distT="0" distB="0" distL="114300" distR="114300">
            <wp:extent cx="4429760" cy="2109470"/>
            <wp:effectExtent l="0" t="0" r="8890" b="5080"/>
            <wp:docPr id="12" name="图片 12" descr="DSC_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_5898"/>
                    <pic:cNvPicPr>
                      <a:picLocks noChangeAspect="1"/>
                    </pic:cNvPicPr>
                  </pic:nvPicPr>
                  <pic:blipFill>
                    <a:blip r:embed="rId19"/>
                    <a:stretch>
                      <a:fillRect/>
                    </a:stretch>
                  </pic:blipFill>
                  <pic:spPr>
                    <a:xfrm>
                      <a:off x="0" y="0"/>
                      <a:ext cx="4429760" cy="2109470"/>
                    </a:xfrm>
                    <a:prstGeom prst="rect">
                      <a:avLst/>
                    </a:prstGeom>
                  </pic:spPr>
                </pic:pic>
              </a:graphicData>
            </a:graphic>
          </wp:inline>
        </w:drawing>
      </w:r>
    </w:p>
    <w:p>
      <w:pPr>
        <w:widowControl/>
        <w:spacing w:line="360" w:lineRule="auto"/>
        <w:ind w:firstLine="2800" w:firstLineChars="1000"/>
        <w:rPr>
          <w:rFonts w:ascii="宋体" w:hAnsi="宋体" w:eastAsia="宋体" w:cs="宋体"/>
          <w:sz w:val="28"/>
          <w:szCs w:val="28"/>
        </w:rPr>
      </w:pPr>
      <w:r>
        <w:rPr>
          <w:rFonts w:hint="eastAsia" w:ascii="宋体" w:hAnsi="宋体" w:eastAsia="宋体" w:cs="宋体"/>
          <w:sz w:val="28"/>
          <w:szCs w:val="28"/>
        </w:rPr>
        <w:t>家长讲座现场</w:t>
      </w:r>
    </w:p>
    <w:p>
      <w:pPr>
        <w:spacing w:line="360" w:lineRule="auto"/>
        <w:ind w:firstLine="640"/>
        <w:rPr>
          <w:rFonts w:ascii="黑体" w:hAnsi="黑体" w:eastAsia="黑体" w:cs="黑体"/>
          <w:sz w:val="28"/>
          <w:szCs w:val="28"/>
        </w:rPr>
      </w:pPr>
      <w:r>
        <w:rPr>
          <w:rFonts w:hint="eastAsia" w:ascii="黑体" w:hAnsi="黑体" w:eastAsia="黑体" w:cs="黑体"/>
          <w:sz w:val="28"/>
          <w:szCs w:val="28"/>
        </w:rPr>
        <w:t>二、选择性干预的探索与实践</w:t>
      </w:r>
    </w:p>
    <w:p>
      <w:pPr>
        <w:spacing w:line="360" w:lineRule="auto"/>
        <w:ind w:firstLine="640"/>
        <w:rPr>
          <w:rFonts w:ascii="黑体" w:hAnsi="黑体" w:eastAsia="黑体" w:cs="黑体"/>
          <w:sz w:val="28"/>
          <w:szCs w:val="28"/>
        </w:rPr>
      </w:pPr>
      <w:r>
        <w:rPr>
          <w:rFonts w:ascii="黑体" w:hAnsi="黑体" w:eastAsia="黑体" w:cs="黑体"/>
          <w:sz w:val="28"/>
          <w:szCs w:val="28"/>
        </w:rPr>
        <w:t>1</w:t>
      </w:r>
      <w:r>
        <w:rPr>
          <w:rFonts w:hint="eastAsia" w:ascii="黑体" w:hAnsi="黑体" w:eastAsia="黑体" w:cs="黑体"/>
          <w:sz w:val="28"/>
          <w:szCs w:val="28"/>
        </w:rPr>
        <w:t>、与政府各部门建立联防联控的双向互动工作机制</w:t>
      </w:r>
    </w:p>
    <w:p>
      <w:pPr>
        <w:spacing w:line="360" w:lineRule="auto"/>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中小学生</w:t>
      </w:r>
      <w:r>
        <w:rPr>
          <w:rFonts w:hint="eastAsia" w:ascii="仿宋_GB2312" w:hAnsi="仿宋_GB2312" w:eastAsia="仿宋_GB2312" w:cs="仿宋_GB2312"/>
          <w:sz w:val="28"/>
          <w:szCs w:val="28"/>
        </w:rPr>
        <w:t>心理危机是一个社会问题，需要政府各个部门的合作和相互支持。深圳市教育局建立了与与公安系统的双向联动机制，设立双向预警处置流程：一方面公安系统监测研判学生网络信息，向教育部门推送疑似高危学生信名单，教育部门配合做好疑似高危学生的跟进干预工作。另一方面，教育部门将工作中发现有学生在网络上发布疑似高危言论的，报送公安系统，请求配合摸底学生的信息资料。</w:t>
      </w:r>
      <w:r>
        <w:rPr>
          <w:rFonts w:hint="eastAsia" w:ascii="仿宋_GB2312" w:hAnsi="黑体" w:eastAsia="仿宋_GB2312"/>
          <w:sz w:val="28"/>
          <w:szCs w:val="28"/>
        </w:rPr>
        <w:t>教育部门收到推送的心理高危学生信息后，</w:t>
      </w:r>
      <w:r>
        <w:rPr>
          <w:rFonts w:hint="eastAsia" w:ascii="仿宋_GB2312" w:hAnsi="仿宋_GB2312" w:eastAsia="仿宋_GB2312" w:cs="仿宋_GB2312"/>
          <w:sz w:val="28"/>
          <w:szCs w:val="28"/>
        </w:rPr>
        <w:t>第一时间将疑似高危学生信息推送区心理教研员/市直属学校负责人，要求学校召开校长联席工作会议进行职责分工，由班主任、任课教师和心理老师联合跟进，了解学生思想动态、情绪行为状况，进行心理危机等级评估；对预警学生要及时进行危机干预，认真填写学生个案信息登记表。目前，所有预警中的高危学生在各部门的联合努力下状况平稳。</w:t>
      </w:r>
    </w:p>
    <w:p>
      <w:pPr>
        <w:spacing w:line="360" w:lineRule="auto"/>
        <w:ind w:firstLine="640"/>
        <w:rPr>
          <w:rFonts w:ascii="黑体" w:hAnsi="黑体" w:eastAsia="黑体" w:cs="黑体"/>
          <w:sz w:val="28"/>
          <w:szCs w:val="28"/>
        </w:rPr>
      </w:pPr>
      <w:r>
        <w:rPr>
          <w:rFonts w:hint="eastAsia" w:ascii="黑体" w:hAnsi="黑体" w:eastAsia="黑体" w:cs="黑体"/>
          <w:sz w:val="28"/>
          <w:szCs w:val="28"/>
        </w:rPr>
        <w:t>2、建设市、区、校三级中小学生心理辅导中心，开通心理热线，提供公益的心理面询和家庭教育指导服务</w:t>
      </w:r>
    </w:p>
    <w:p>
      <w:pPr>
        <w:spacing w:line="360" w:lineRule="auto"/>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深圳市教育局2</w:t>
      </w:r>
      <w:r>
        <w:rPr>
          <w:rFonts w:ascii="仿宋_GB2312" w:hAnsi="仿宋_GB2312" w:eastAsia="仿宋_GB2312" w:cs="仿宋_GB2312"/>
          <w:sz w:val="28"/>
          <w:szCs w:val="28"/>
        </w:rPr>
        <w:t>008</w:t>
      </w:r>
      <w:r>
        <w:rPr>
          <w:rFonts w:hint="eastAsia" w:ascii="仿宋_GB2312" w:hAnsi="仿宋_GB2312" w:eastAsia="仿宋_GB2312" w:cs="仿宋_GB2312"/>
          <w:sz w:val="28"/>
          <w:szCs w:val="28"/>
        </w:rPr>
        <w:t>年发文成立了深圳市中小学生心理辅导中心，此后各区相继成立了各区中小学生心理辅导中心，开通了心理热线，为学生和家长提供公益的电话咨询、心理面询和家庭教育指导服务。</w:t>
      </w:r>
      <w:bookmarkStart w:id="0" w:name="_GoBack"/>
      <w:bookmarkEnd w:id="0"/>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三、针对性干预的探索与实践</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1、建立学生心理健康医校合作服务体系</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为了给心理高危学生提供更好的就医、教育、辅导服务，教育系统和医疗部门成立了“深圳市医校共建学生心理健康联盟”，医校开始了深度合作，一是与深圳市康宁医院合作开通</w:t>
      </w:r>
      <w:r>
        <w:rPr>
          <w:rFonts w:hint="eastAsia" w:ascii="仿宋_GB2312" w:hAnsi="仿宋_GB2312" w:eastAsia="仿宋_GB2312" w:cs="仿宋_GB2312"/>
          <w:sz w:val="28"/>
          <w:szCs w:val="28"/>
          <w:lang w:eastAsia="zh-CN"/>
        </w:rPr>
        <w:t>中小学生</w:t>
      </w:r>
      <w:r>
        <w:rPr>
          <w:rFonts w:hint="eastAsia" w:ascii="仿宋_GB2312" w:hAnsi="仿宋_GB2312" w:eastAsia="仿宋_GB2312" w:cs="仿宋_GB2312"/>
          <w:sz w:val="28"/>
          <w:szCs w:val="28"/>
        </w:rPr>
        <w:t>心理诊治绿色通道，帮助中小学快速就医，解决学校的实际困难；二是为培养理</w:t>
      </w:r>
      <w:r>
        <w:rPr>
          <w:rFonts w:ascii="仿宋_GB2312" w:hAnsi="仿宋_GB2312" w:eastAsia="仿宋_GB2312" w:cs="仿宋_GB2312"/>
          <w:sz w:val="28"/>
          <w:szCs w:val="28"/>
        </w:rPr>
        <w:t>论与实践能</w:t>
      </w:r>
      <w:r>
        <w:rPr>
          <w:rFonts w:hint="eastAsia" w:ascii="仿宋_GB2312" w:hAnsi="仿宋_GB2312" w:eastAsia="仿宋_GB2312" w:cs="仿宋_GB2312"/>
          <w:sz w:val="28"/>
          <w:szCs w:val="28"/>
        </w:rPr>
        <w:t>力</w:t>
      </w:r>
      <w:r>
        <w:rPr>
          <w:rFonts w:ascii="仿宋_GB2312" w:hAnsi="仿宋_GB2312" w:eastAsia="仿宋_GB2312" w:cs="仿宋_GB2312"/>
          <w:sz w:val="28"/>
          <w:szCs w:val="28"/>
        </w:rPr>
        <w:t>兼具的</w:t>
      </w:r>
      <w:r>
        <w:rPr>
          <w:rFonts w:hint="eastAsia" w:ascii="仿宋_GB2312" w:hAnsi="仿宋_GB2312" w:eastAsia="仿宋_GB2312" w:cs="仿宋_GB2312"/>
          <w:sz w:val="28"/>
          <w:szCs w:val="28"/>
        </w:rPr>
        <w:t>心</w:t>
      </w:r>
      <w:r>
        <w:rPr>
          <w:rFonts w:ascii="仿宋_GB2312" w:hAnsi="仿宋_GB2312" w:eastAsia="仿宋_GB2312" w:cs="仿宋_GB2312"/>
          <w:sz w:val="28"/>
          <w:szCs w:val="28"/>
        </w:rPr>
        <w:t>理危机干预队伍</w:t>
      </w:r>
      <w:r>
        <w:rPr>
          <w:rFonts w:hint="eastAsia" w:ascii="仿宋_GB2312" w:hAnsi="仿宋_GB2312" w:eastAsia="仿宋_GB2312" w:cs="仿宋_GB2312"/>
          <w:sz w:val="28"/>
          <w:szCs w:val="28"/>
        </w:rPr>
        <w:t>骨干，与市卫建委合作举办“心理危机干预能力培训班”并开通网络直播课程，提升心理教师应对心理危机的能力与水平；三是与深圳市精神卫生中心合作，面向200名心理教师开展常见精神障碍的识别干预等专项培训，帮助心理教师学习在学校如何辅导确诊了抑郁症和双相障碍等学生的知识和技巧。</w:t>
      </w:r>
    </w:p>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336800" cy="2419350"/>
            <wp:effectExtent l="0" t="0" r="6350" b="0"/>
            <wp:docPr id="6" name="图片 6" descr="19ead6f6305d70930714844e68fc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ead6f6305d70930714844e68fcaf2"/>
                    <pic:cNvPicPr>
                      <a:picLocks noChangeAspect="1"/>
                    </pic:cNvPicPr>
                  </pic:nvPicPr>
                  <pic:blipFill>
                    <a:blip r:embed="rId20"/>
                    <a:stretch>
                      <a:fillRect/>
                    </a:stretch>
                  </pic:blipFill>
                  <pic:spPr>
                    <a:xfrm>
                      <a:off x="0" y="0"/>
                      <a:ext cx="2336800" cy="2419350"/>
                    </a:xfrm>
                    <a:prstGeom prst="roundRect">
                      <a:avLst/>
                    </a:prstGeom>
                  </pic:spPr>
                </pic:pic>
              </a:graphicData>
            </a:graphic>
          </wp:inline>
        </w:drawing>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drawing>
          <wp:inline distT="0" distB="0" distL="114300" distR="114300">
            <wp:extent cx="2388235" cy="2419985"/>
            <wp:effectExtent l="0" t="0" r="12065" b="18415"/>
            <wp:docPr id="7" name="图片 7" descr="dd0efeba93d5b873c46b071e010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d0efeba93d5b873c46b071e0106932"/>
                    <pic:cNvPicPr>
                      <a:picLocks noChangeAspect="1"/>
                    </pic:cNvPicPr>
                  </pic:nvPicPr>
                  <pic:blipFill>
                    <a:blip r:embed="rId21"/>
                    <a:stretch>
                      <a:fillRect/>
                    </a:stretch>
                  </pic:blipFill>
                  <pic:spPr>
                    <a:xfrm>
                      <a:off x="0" y="0"/>
                      <a:ext cx="2388235" cy="2419985"/>
                    </a:xfrm>
                    <a:prstGeom prst="roundRect">
                      <a:avLst/>
                    </a:prstGeom>
                  </pic:spPr>
                </pic:pic>
              </a:graphicData>
            </a:graphic>
          </wp:inline>
        </w:drawing>
      </w:r>
    </w:p>
    <w:p>
      <w:pPr>
        <w:spacing w:line="360" w:lineRule="auto"/>
        <w:jc w:val="center"/>
        <w:rPr>
          <w:rFonts w:ascii="宋体" w:hAnsi="宋体" w:eastAsia="宋体" w:cs="宋体"/>
          <w:sz w:val="28"/>
          <w:szCs w:val="28"/>
        </w:rPr>
      </w:pPr>
      <w:r>
        <w:rPr>
          <w:rFonts w:hint="eastAsia" w:asciiTheme="minorEastAsia" w:hAnsiTheme="minorEastAsia" w:cstheme="minorEastAsia"/>
          <w:sz w:val="28"/>
          <w:szCs w:val="28"/>
        </w:rPr>
        <w:t>心理危机干预能力直播课</w:t>
      </w:r>
    </w:p>
    <w:p>
      <w:pPr>
        <w:spacing w:line="360" w:lineRule="auto"/>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4874260" cy="2619375"/>
            <wp:effectExtent l="0" t="0" r="2540" b="9525"/>
            <wp:docPr id="5" name="图片 5" descr="mmexport160732683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607326838378"/>
                    <pic:cNvPicPr>
                      <a:picLocks noChangeAspect="1"/>
                    </pic:cNvPicPr>
                  </pic:nvPicPr>
                  <pic:blipFill>
                    <a:blip r:embed="rId22"/>
                    <a:stretch>
                      <a:fillRect/>
                    </a:stretch>
                  </pic:blipFill>
                  <pic:spPr>
                    <a:xfrm>
                      <a:off x="0" y="0"/>
                      <a:ext cx="4874260" cy="2619375"/>
                    </a:xfrm>
                    <a:prstGeom prst="rect">
                      <a:avLst/>
                    </a:prstGeom>
                  </pic:spPr>
                </pic:pic>
              </a:graphicData>
            </a:graphic>
          </wp:inline>
        </w:drawing>
      </w:r>
    </w:p>
    <w:p>
      <w:pPr>
        <w:spacing w:line="360" w:lineRule="auto"/>
        <w:jc w:val="center"/>
        <w:rPr>
          <w:rFonts w:ascii="宋体" w:hAnsi="宋体" w:eastAsia="宋体" w:cs="宋体"/>
          <w:sz w:val="28"/>
          <w:szCs w:val="28"/>
        </w:rPr>
      </w:pPr>
      <w:r>
        <w:rPr>
          <w:rFonts w:hint="eastAsia" w:ascii="宋体" w:hAnsi="宋体" w:eastAsia="宋体" w:cs="宋体"/>
          <w:sz w:val="28"/>
          <w:szCs w:val="28"/>
        </w:rPr>
        <w:t>医校共建联盟揭牌仪式现场</w:t>
      </w:r>
    </w:p>
    <w:p>
      <w:pPr>
        <w:spacing w:line="360" w:lineRule="auto"/>
        <w:ind w:firstLine="560" w:firstLineChars="200"/>
        <w:rPr>
          <w:rFonts w:ascii="黑体" w:hAnsi="黑体" w:eastAsia="黑体" w:cs="黑体"/>
          <w:sz w:val="28"/>
          <w:szCs w:val="28"/>
        </w:rPr>
      </w:pPr>
      <w:r>
        <w:rPr>
          <w:rFonts w:ascii="黑体" w:hAnsi="黑体" w:eastAsia="黑体" w:cs="黑体"/>
          <w:sz w:val="28"/>
          <w:szCs w:val="28"/>
        </w:rPr>
        <w:t>2</w:t>
      </w:r>
      <w:r>
        <w:rPr>
          <w:rFonts w:hint="eastAsia" w:ascii="黑体" w:hAnsi="黑体" w:eastAsia="黑体" w:cs="黑体"/>
          <w:sz w:val="28"/>
          <w:szCs w:val="28"/>
        </w:rPr>
        <w:t>、为返校复学的学生提供相应的配套支持</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患有精神疾病学生最好的康复场所是学校，而不是家庭和医院。这就需要学校因材施教，为这些正处于治疗中或康复中的学生提供相应的教育和辅导。为了帮助这些学生更好地适应学校，融入校园，学校和精神科医生需要更具体、更深度的合作，心理老师和班主任会根据医生的建议，对该部分学生进行建档工作，一人一册，定期辅导，不定期随访，及时关注学生的心理健康、人际交往、校园生活和学习等情况，必要时提供支持和帮助，并与家长保持密切的联系，及时了解学生的情况。</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3、联合社区，给休学在家的学生提供专业支持和实际帮助</w:t>
      </w:r>
    </w:p>
    <w:p>
      <w:pPr>
        <w:spacing w:line="360" w:lineRule="auto"/>
        <w:ind w:firstLine="560" w:firstLineChars="200"/>
        <w:rPr>
          <w:rFonts w:ascii="宋体" w:hAnsi="宋体" w:eastAsia="宋体" w:cs="宋体"/>
          <w:sz w:val="28"/>
          <w:szCs w:val="28"/>
        </w:rPr>
      </w:pPr>
      <w:r>
        <w:rPr>
          <w:rFonts w:hint="eastAsia" w:ascii="仿宋_GB2312" w:hAnsi="仿宋_GB2312" w:eastAsia="仿宋_GB2312" w:cs="仿宋_GB2312"/>
          <w:sz w:val="28"/>
          <w:szCs w:val="28"/>
        </w:rPr>
        <w:t>对于那些休学在家，暂时不能返校的学生，学校积极联系社区，请求社区的介入和帮助。社区会派社工上门，提供精神支持，同时有条件的社区会为所辖社区因精神疾病休学在家的学生提供公益的心理咨询服务。深圳市社会心理服务体系国家试点城市，社会心理服务体系正在形成过程中，市政府正在规划将来在每一个社康中心开设精神科门诊，为辖区市民提供精神医疗服务和心理咨询服务。</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PingFangSC-Regular">
    <w:altName w:val="Times New Roman"/>
    <w:panose1 w:val="00000000000000000000"/>
    <w:charset w:val="00"/>
    <w:family w:val="auto"/>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E-BZ+ZCbFwe-3">
    <w:altName w:val="微软雅黑"/>
    <w:panose1 w:val="00000000000000000000"/>
    <w:charset w:val="86"/>
    <w:family w:val="auto"/>
    <w:pitch w:val="default"/>
    <w:sig w:usb0="00000000" w:usb1="00000000" w:usb2="00000010" w:usb3="00000000" w:csb0="00040000" w:csb1="00000000"/>
  </w:font>
  <w:font w:name="AdobeHeitiStd-Regular">
    <w:altName w:val="微软雅黑"/>
    <w:panose1 w:val="00000000000000000000"/>
    <w:charset w:val="86"/>
    <w:family w:val="auto"/>
    <w:pitch w:val="default"/>
    <w:sig w:usb0="00000000" w:usb1="00000000" w:usb2="00000010" w:usb3="00000000" w:csb0="00040000" w:csb1="00000000"/>
  </w:font>
  <w:font w:name="SSJ0+ZCbFwe-5">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autoSpaceDE w:val="0"/>
        <w:autoSpaceDN w:val="0"/>
        <w:adjustRightInd w:val="0"/>
        <w:jc w:val="left"/>
        <w:rPr>
          <w:rFonts w:ascii="E-BZ+ZCbFwe-3" w:hAnsi="Times New Roman" w:eastAsia="E-BZ+ZCbFwe-3" w:cs="E-BZ+ZCbFwe-3"/>
          <w:kern w:val="0"/>
          <w:sz w:val="16"/>
          <w:szCs w:val="16"/>
        </w:rPr>
      </w:pPr>
      <w:r>
        <w:rPr>
          <w:rStyle w:val="14"/>
        </w:rPr>
        <w:footnoteRef/>
      </w:r>
      <w:r>
        <w:t xml:space="preserve"> </w:t>
      </w:r>
      <w:r>
        <w:rPr>
          <w:rFonts w:ascii="E-BZ+ZCbFwe-3" w:hAnsi="Times New Roman" w:eastAsia="E-BZ+ZCbFwe-3" w:cs="E-BZ+ZCbFwe-3"/>
          <w:kern w:val="0"/>
          <w:sz w:val="16"/>
          <w:szCs w:val="16"/>
        </w:rPr>
        <w:t>Brener ND</w:t>
      </w:r>
      <w:r>
        <w:rPr>
          <w:rFonts w:hint="eastAsia" w:ascii="AdobeHeitiStd-Regular" w:hAnsi="Times New Roman" w:eastAsia="AdobeHeitiStd-Regular" w:cs="AdobeHeitiStd-Regular"/>
          <w:kern w:val="0"/>
          <w:sz w:val="16"/>
          <w:szCs w:val="16"/>
        </w:rPr>
        <w:t>，</w:t>
      </w:r>
      <w:r>
        <w:rPr>
          <w:rFonts w:ascii="E-BZ+ZCbFwe-3" w:hAnsi="Times New Roman" w:eastAsia="E-BZ+ZCbFwe-3" w:cs="E-BZ+ZCbFwe-3"/>
          <w:kern w:val="0"/>
          <w:sz w:val="16"/>
          <w:szCs w:val="16"/>
        </w:rPr>
        <w:t>Martindale J</w:t>
      </w:r>
      <w:r>
        <w:rPr>
          <w:rFonts w:hint="eastAsia" w:ascii="AdobeHeitiStd-Regular" w:hAnsi="Times New Roman" w:eastAsia="AdobeHeitiStd-Regular" w:cs="AdobeHeitiStd-Regular"/>
          <w:kern w:val="0"/>
          <w:sz w:val="16"/>
          <w:szCs w:val="16"/>
        </w:rPr>
        <w:t>，</w:t>
      </w:r>
      <w:r>
        <w:rPr>
          <w:rFonts w:ascii="E-BZ+ZCbFwe-3" w:hAnsi="Times New Roman" w:eastAsia="E-BZ+ZCbFwe-3" w:cs="E-BZ+ZCbFwe-3"/>
          <w:kern w:val="0"/>
          <w:sz w:val="16"/>
          <w:szCs w:val="16"/>
        </w:rPr>
        <w:t>Weist MD. Mental health and social</w:t>
      </w:r>
      <w:r>
        <w:rPr>
          <w:rFonts w:hint="eastAsia" w:ascii="E-BZ+ZCbFwe-3" w:hAnsi="Times New Roman" w:eastAsia="E-BZ+ZCbFwe-3" w:cs="E-BZ+ZCbFwe-3"/>
          <w:kern w:val="0"/>
          <w:sz w:val="16"/>
          <w:szCs w:val="16"/>
        </w:rPr>
        <w:t xml:space="preserve"> </w:t>
      </w:r>
      <w:r>
        <w:rPr>
          <w:rFonts w:ascii="E-BZ+ZCbFwe-3" w:hAnsi="Times New Roman" w:eastAsia="E-BZ+ZCbFwe-3" w:cs="E-BZ+ZCbFwe-3"/>
          <w:kern w:val="0"/>
          <w:sz w:val="16"/>
          <w:szCs w:val="16"/>
        </w:rPr>
        <w:t>services</w:t>
      </w:r>
      <w:r>
        <w:rPr>
          <w:rFonts w:ascii="AdobeHeitiStd-Regular" w:hAnsi="Times New Roman" w:eastAsia="AdobeHeitiStd-Regular" w:cs="AdobeHeitiStd-Regular"/>
          <w:kern w:val="0"/>
          <w:sz w:val="16"/>
          <w:szCs w:val="16"/>
        </w:rPr>
        <w:t xml:space="preserve">: </w:t>
      </w:r>
      <w:r>
        <w:rPr>
          <w:rFonts w:ascii="E-BZ+ZCbFwe-3" w:hAnsi="Times New Roman" w:eastAsia="E-BZ+ZCbFwe-3" w:cs="E-BZ+ZCbFwe-3"/>
          <w:kern w:val="0"/>
          <w:sz w:val="16"/>
          <w:szCs w:val="16"/>
        </w:rPr>
        <w:t>results from the School Health Policies and Programs</w:t>
      </w:r>
      <w:r>
        <w:rPr>
          <w:rFonts w:hint="eastAsia" w:ascii="E-BZ+ZCbFwe-3" w:hAnsi="Times New Roman" w:eastAsia="E-BZ+ZCbFwe-3" w:cs="E-BZ+ZCbFwe-3"/>
          <w:kern w:val="0"/>
          <w:sz w:val="16"/>
          <w:szCs w:val="16"/>
        </w:rPr>
        <w:t xml:space="preserve"> </w:t>
      </w:r>
      <w:r>
        <w:rPr>
          <w:rFonts w:ascii="E-BZ+ZCbFwe-3" w:hAnsi="Times New Roman" w:eastAsia="E-BZ+ZCbFwe-3" w:cs="E-BZ+ZCbFwe-3"/>
          <w:kern w:val="0"/>
          <w:sz w:val="16"/>
          <w:szCs w:val="16"/>
        </w:rPr>
        <w:t xml:space="preserve">Study 2000 </w:t>
      </w:r>
      <w:r>
        <w:rPr>
          <w:rFonts w:hint="eastAsia" w:ascii="AdobeHeitiStd-Regular" w:hAnsi="Times New Roman" w:eastAsia="AdobeHeitiStd-Regular" w:cs="AdobeHeitiStd-Regular"/>
          <w:kern w:val="0"/>
          <w:sz w:val="16"/>
          <w:szCs w:val="16"/>
        </w:rPr>
        <w:t>［</w:t>
      </w:r>
      <w:r>
        <w:rPr>
          <w:rFonts w:ascii="E-BZ+ZCbFwe-3" w:hAnsi="Times New Roman" w:eastAsia="E-BZ+ZCbFwe-3" w:cs="E-BZ+ZCbFwe-3"/>
          <w:kern w:val="0"/>
          <w:sz w:val="16"/>
          <w:szCs w:val="16"/>
        </w:rPr>
        <w:t>J</w:t>
      </w:r>
      <w:r>
        <w:rPr>
          <w:rFonts w:hint="eastAsia" w:ascii="AdobeHeitiStd-Regular" w:hAnsi="Times New Roman" w:eastAsia="AdobeHeitiStd-Regular" w:cs="AdobeHeitiStd-Regular"/>
          <w:kern w:val="0"/>
          <w:sz w:val="16"/>
          <w:szCs w:val="16"/>
        </w:rPr>
        <w:t>］</w:t>
      </w:r>
      <w:r>
        <w:rPr>
          <w:rFonts w:ascii="AdobeHeitiStd-Regular" w:hAnsi="Times New Roman" w:eastAsia="AdobeHeitiStd-Regular" w:cs="AdobeHeitiStd-Regular"/>
          <w:kern w:val="0"/>
          <w:sz w:val="16"/>
          <w:szCs w:val="16"/>
        </w:rPr>
        <w:t xml:space="preserve"> </w:t>
      </w:r>
      <w:r>
        <w:rPr>
          <w:rFonts w:ascii="E-BZ+ZCbFwe-3" w:hAnsi="Times New Roman" w:eastAsia="E-BZ+ZCbFwe-3" w:cs="E-BZ+ZCbFwe-3"/>
          <w:kern w:val="0"/>
          <w:sz w:val="16"/>
          <w:szCs w:val="16"/>
        </w:rPr>
        <w:t>. J Sch Health</w:t>
      </w:r>
      <w:r>
        <w:rPr>
          <w:rFonts w:hint="eastAsia" w:ascii="AdobeHeitiStd-Regular" w:hAnsi="Times New Roman" w:eastAsia="AdobeHeitiStd-Regular" w:cs="AdobeHeitiStd-Regular"/>
          <w:kern w:val="0"/>
          <w:sz w:val="16"/>
          <w:szCs w:val="16"/>
        </w:rPr>
        <w:t>，</w:t>
      </w:r>
      <w:r>
        <w:rPr>
          <w:rFonts w:ascii="AdobeHeitiStd-Regular" w:hAnsi="Times New Roman" w:eastAsia="AdobeHeitiStd-Regular" w:cs="AdobeHeitiStd-Regular"/>
          <w:kern w:val="0"/>
          <w:sz w:val="16"/>
          <w:szCs w:val="16"/>
        </w:rPr>
        <w:t xml:space="preserve"> </w:t>
      </w:r>
      <w:r>
        <w:rPr>
          <w:rFonts w:ascii="E-BZ+ZCbFwe-3" w:hAnsi="Times New Roman" w:eastAsia="E-BZ+ZCbFwe-3" w:cs="E-BZ+ZCbFwe-3"/>
          <w:kern w:val="0"/>
          <w:sz w:val="16"/>
          <w:szCs w:val="16"/>
        </w:rPr>
        <w:t>2001</w:t>
      </w:r>
      <w:r>
        <w:rPr>
          <w:rFonts w:hint="eastAsia" w:ascii="AdobeHeitiStd-Regular" w:hAnsi="Times New Roman" w:eastAsia="AdobeHeitiStd-Regular" w:cs="AdobeHeitiStd-Regular"/>
          <w:kern w:val="0"/>
          <w:sz w:val="16"/>
          <w:szCs w:val="16"/>
        </w:rPr>
        <w:t>，</w:t>
      </w:r>
      <w:r>
        <w:rPr>
          <w:rFonts w:ascii="AdobeHeitiStd-Regular" w:hAnsi="Times New Roman" w:eastAsia="AdobeHeitiStd-Regular" w:cs="AdobeHeitiStd-Regular"/>
          <w:kern w:val="0"/>
          <w:sz w:val="16"/>
          <w:szCs w:val="16"/>
        </w:rPr>
        <w:t xml:space="preserve"> </w:t>
      </w:r>
      <w:r>
        <w:rPr>
          <w:rFonts w:ascii="E-BZ+ZCbFwe-3" w:hAnsi="Times New Roman" w:eastAsia="E-BZ+ZCbFwe-3" w:cs="E-BZ+ZCbFwe-3"/>
          <w:kern w:val="0"/>
          <w:sz w:val="16"/>
          <w:szCs w:val="16"/>
        </w:rPr>
        <w:t xml:space="preserve">71 </w:t>
      </w:r>
      <w:r>
        <w:rPr>
          <w:rFonts w:ascii="AdobeHeitiStd-Regular" w:hAnsi="Times New Roman" w:eastAsia="AdobeHeitiStd-Regular" w:cs="AdobeHeitiStd-Regular"/>
          <w:kern w:val="0"/>
          <w:sz w:val="16"/>
          <w:szCs w:val="16"/>
        </w:rPr>
        <w:t xml:space="preserve">( </w:t>
      </w:r>
      <w:r>
        <w:rPr>
          <w:rFonts w:ascii="E-BZ+ZCbFwe-3" w:hAnsi="Times New Roman" w:eastAsia="E-BZ+ZCbFwe-3" w:cs="E-BZ+ZCbFwe-3"/>
          <w:kern w:val="0"/>
          <w:sz w:val="16"/>
          <w:szCs w:val="16"/>
        </w:rPr>
        <w:t xml:space="preserve">7 </w:t>
      </w:r>
      <w:r>
        <w:rPr>
          <w:rFonts w:ascii="AdobeHeitiStd-Regular" w:hAnsi="Times New Roman" w:eastAsia="AdobeHeitiStd-Regular" w:cs="AdobeHeitiStd-Regular"/>
          <w:kern w:val="0"/>
          <w:sz w:val="16"/>
          <w:szCs w:val="16"/>
        </w:rPr>
        <w:t xml:space="preserve">) : </w:t>
      </w:r>
      <w:r>
        <w:rPr>
          <w:rFonts w:ascii="E-BZ+ZCbFwe-3" w:hAnsi="Times New Roman" w:eastAsia="E-BZ+ZCbFwe-3" w:cs="E-BZ+ZCbFwe-3"/>
          <w:kern w:val="0"/>
          <w:sz w:val="16"/>
          <w:szCs w:val="16"/>
        </w:rPr>
        <w:t xml:space="preserve">305 </w:t>
      </w:r>
      <w:r>
        <w:rPr>
          <w:rFonts w:hint="eastAsia" w:ascii="E-BZ+ZCbFwe-3" w:hAnsi="Times New Roman" w:eastAsia="E-BZ+ZCbFwe-3" w:cs="E-BZ+ZCbFwe-3"/>
          <w:kern w:val="0"/>
          <w:sz w:val="16"/>
          <w:szCs w:val="16"/>
        </w:rPr>
        <w:t xml:space="preserve">－ </w:t>
      </w:r>
      <w:r>
        <w:rPr>
          <w:rFonts w:ascii="E-BZ+ZCbFwe-3" w:hAnsi="Times New Roman" w:eastAsia="E-BZ+ZCbFwe-3" w:cs="E-BZ+ZCbFwe-3"/>
          <w:kern w:val="0"/>
          <w:sz w:val="16"/>
          <w:szCs w:val="16"/>
        </w:rPr>
        <w:t xml:space="preserve">312. </w:t>
      </w:r>
    </w:p>
  </w:footnote>
  <w:footnote w:id="1">
    <w:p>
      <w:pPr>
        <w:autoSpaceDE w:val="0"/>
        <w:autoSpaceDN w:val="0"/>
        <w:adjustRightInd w:val="0"/>
        <w:jc w:val="left"/>
        <w:rPr>
          <w:rFonts w:ascii="SSJ0+ZCbFwe-5" w:hAnsi="Times New Roman" w:eastAsia="SSJ0+ZCbFwe-5" w:cs="SSJ0+ZCbFwe-5"/>
          <w:kern w:val="0"/>
          <w:sz w:val="16"/>
          <w:szCs w:val="16"/>
        </w:rPr>
      </w:pPr>
      <w:r>
        <w:rPr>
          <w:rStyle w:val="14"/>
        </w:rPr>
        <w:footnoteRef/>
      </w:r>
      <w:r>
        <w:t xml:space="preserve"> </w:t>
      </w:r>
      <w:r>
        <w:rPr>
          <w:rFonts w:hint="eastAsia" w:ascii="AdobeHeitiStd-Regular" w:hAnsi="Times New Roman" w:eastAsia="AdobeHeitiStd-Regular" w:cs="AdobeHeitiStd-Regular"/>
          <w:kern w:val="0"/>
          <w:sz w:val="16"/>
          <w:szCs w:val="16"/>
        </w:rPr>
        <w:t>钟宇慧</w:t>
      </w:r>
      <w:r>
        <w:rPr>
          <w:rFonts w:ascii="E-BZ+ZCbFwe-3" w:hAnsi="Times New Roman" w:eastAsia="E-BZ+ZCbFwe-3" w:cs="E-BZ+ZCbFwe-3"/>
          <w:kern w:val="0"/>
          <w:sz w:val="16"/>
          <w:szCs w:val="16"/>
        </w:rPr>
        <w:t xml:space="preserve">. </w:t>
      </w:r>
      <w:r>
        <w:rPr>
          <w:rFonts w:hint="eastAsia" w:ascii="AdobeHeitiStd-Regular" w:hAnsi="Times New Roman" w:eastAsia="AdobeHeitiStd-Regular" w:cs="AdobeHeitiStd-Regular"/>
          <w:kern w:val="0"/>
          <w:sz w:val="16"/>
          <w:szCs w:val="16"/>
        </w:rPr>
        <w:t>香港抗逆力辅导工作及其启示</w:t>
      </w:r>
      <w:r>
        <w:rPr>
          <w:rFonts w:hint="eastAsia" w:ascii="E-BZ+ZCbFwe-3" w:hAnsi="Times New Roman" w:eastAsia="E-BZ+ZCbFwe-3" w:cs="E-BZ+ZCbFwe-3"/>
          <w:kern w:val="0"/>
          <w:sz w:val="16"/>
          <w:szCs w:val="16"/>
        </w:rPr>
        <w:t>－</w:t>
      </w:r>
      <w:r>
        <w:rPr>
          <w:rFonts w:ascii="E-BZ+ZCbFwe-3" w:hAnsi="Times New Roman" w:eastAsia="E-BZ+ZCbFwe-3" w:cs="E-BZ+ZCbFwe-3"/>
          <w:kern w:val="0"/>
          <w:sz w:val="16"/>
          <w:szCs w:val="16"/>
        </w:rPr>
        <w:t xml:space="preserve"> </w:t>
      </w:r>
      <w:r>
        <w:rPr>
          <w:rFonts w:hint="eastAsia" w:ascii="AdobeHeitiStd-Regular" w:hAnsi="Times New Roman" w:eastAsia="AdobeHeitiStd-Regular" w:cs="AdobeHeitiStd-Regular"/>
          <w:kern w:val="0"/>
          <w:sz w:val="16"/>
          <w:szCs w:val="16"/>
        </w:rPr>
        <w:t>以</w:t>
      </w:r>
      <w:r>
        <w:rPr>
          <w:rFonts w:hint="eastAsia" w:ascii="SSJ0+ZCbFwe-5" w:hAnsi="Times New Roman" w:eastAsia="SSJ0+ZCbFwe-5" w:cs="SSJ0+ZCbFwe-5"/>
          <w:kern w:val="0"/>
          <w:sz w:val="16"/>
          <w:szCs w:val="16"/>
        </w:rPr>
        <w:t>“</w:t>
      </w:r>
      <w:r>
        <w:rPr>
          <w:rFonts w:hint="eastAsia" w:ascii="AdobeHeitiStd-Regular" w:hAnsi="Times New Roman" w:eastAsia="AdobeHeitiStd-Regular" w:cs="AdobeHeitiStd-Regular"/>
          <w:kern w:val="0"/>
          <w:sz w:val="16"/>
          <w:szCs w:val="16"/>
        </w:rPr>
        <w:t>成长的天空</w:t>
      </w:r>
      <w:r>
        <w:rPr>
          <w:rFonts w:hint="eastAsia" w:ascii="SSJ0+ZCbFwe-5" w:hAnsi="Times New Roman" w:eastAsia="SSJ0+ZCbFwe-5" w:cs="SSJ0+ZCbFwe-5"/>
          <w:kern w:val="0"/>
          <w:sz w:val="16"/>
          <w:szCs w:val="16"/>
        </w:rPr>
        <w:t>”</w:t>
      </w:r>
      <w:r>
        <w:rPr>
          <w:rFonts w:hint="eastAsia" w:ascii="AdobeHeitiStd-Regular" w:hAnsi="Times New Roman" w:eastAsia="AdobeHeitiStd-Regular" w:cs="AdobeHeitiStd-Regular"/>
          <w:kern w:val="0"/>
          <w:sz w:val="16"/>
          <w:szCs w:val="16"/>
        </w:rPr>
        <w:t>计划为例［</w:t>
      </w:r>
      <w:r>
        <w:rPr>
          <w:rFonts w:ascii="E-BZ+ZCbFwe-3" w:hAnsi="Times New Roman" w:eastAsia="E-BZ+ZCbFwe-3" w:cs="E-BZ+ZCbFwe-3"/>
          <w:kern w:val="0"/>
          <w:sz w:val="16"/>
          <w:szCs w:val="16"/>
        </w:rPr>
        <w:t>J</w:t>
      </w:r>
      <w:r>
        <w:rPr>
          <w:rFonts w:hint="eastAsia" w:ascii="AdobeHeitiStd-Regular" w:hAnsi="Times New Roman" w:eastAsia="AdobeHeitiStd-Regular" w:cs="AdobeHeitiStd-Regular"/>
          <w:kern w:val="0"/>
          <w:sz w:val="16"/>
          <w:szCs w:val="16"/>
        </w:rPr>
        <w:t>］</w:t>
      </w:r>
      <w:r>
        <w:rPr>
          <w:rFonts w:ascii="AdobeHeitiStd-Regular" w:hAnsi="Times New Roman" w:eastAsia="AdobeHeitiStd-Regular" w:cs="AdobeHeitiStd-Regular"/>
          <w:kern w:val="0"/>
          <w:sz w:val="16"/>
          <w:szCs w:val="16"/>
        </w:rPr>
        <w:t xml:space="preserve"> </w:t>
      </w:r>
      <w:r>
        <w:rPr>
          <w:rFonts w:ascii="E-BZ+ZCbFwe-3" w:hAnsi="Times New Roman" w:eastAsia="E-BZ+ZCbFwe-3" w:cs="E-BZ+ZCbFwe-3"/>
          <w:kern w:val="0"/>
          <w:sz w:val="16"/>
          <w:szCs w:val="16"/>
        </w:rPr>
        <w:t xml:space="preserve">. </w:t>
      </w:r>
      <w:r>
        <w:rPr>
          <w:rFonts w:hint="eastAsia" w:ascii="AdobeHeitiStd-Regular" w:hAnsi="Times New Roman" w:eastAsia="AdobeHeitiStd-Regular" w:cs="AdobeHeitiStd-Regular"/>
          <w:kern w:val="0"/>
          <w:sz w:val="16"/>
          <w:szCs w:val="16"/>
        </w:rPr>
        <w:t>广东青年干部学院学报，</w:t>
      </w:r>
      <w:r>
        <w:rPr>
          <w:rFonts w:ascii="E-BZ+ZCbFwe-3" w:hAnsi="Times New Roman" w:eastAsia="E-BZ+ZCbFwe-3" w:cs="E-BZ+ZCbFwe-3"/>
          <w:kern w:val="0"/>
          <w:sz w:val="16"/>
          <w:szCs w:val="16"/>
        </w:rPr>
        <w:t>2009</w:t>
      </w:r>
      <w:r>
        <w:rPr>
          <w:rFonts w:hint="eastAsia" w:ascii="AdobeHeitiStd-Regular" w:hAnsi="Times New Roman" w:eastAsia="AdobeHeitiStd-Regular" w:cs="AdobeHeitiStd-Regular"/>
          <w:kern w:val="0"/>
          <w:sz w:val="16"/>
          <w:szCs w:val="16"/>
        </w:rPr>
        <w:t>，</w:t>
      </w:r>
      <w:r>
        <w:rPr>
          <w:rFonts w:ascii="E-BZ+ZCbFwe-3" w:hAnsi="Times New Roman" w:eastAsia="E-BZ+ZCbFwe-3" w:cs="E-BZ+ZCbFwe-3"/>
          <w:kern w:val="0"/>
          <w:sz w:val="16"/>
          <w:szCs w:val="16"/>
        </w:rPr>
        <w:t xml:space="preserve">23 </w:t>
      </w:r>
      <w:r>
        <w:rPr>
          <w:rFonts w:ascii="AdobeHeitiStd-Regular" w:hAnsi="Times New Roman" w:eastAsia="AdobeHeitiStd-Regular" w:cs="AdobeHeitiStd-Regular"/>
          <w:kern w:val="0"/>
          <w:sz w:val="16"/>
          <w:szCs w:val="16"/>
        </w:rPr>
        <w:t xml:space="preserve">( </w:t>
      </w:r>
      <w:r>
        <w:rPr>
          <w:rFonts w:ascii="E-BZ+ZCbFwe-3" w:hAnsi="Times New Roman" w:eastAsia="E-BZ+ZCbFwe-3" w:cs="E-BZ+ZCbFwe-3"/>
          <w:kern w:val="0"/>
          <w:sz w:val="16"/>
          <w:szCs w:val="16"/>
        </w:rPr>
        <w:t>77</w:t>
      </w:r>
      <w:r>
        <w:rPr>
          <w:rFonts w:ascii="AdobeHeitiStd-Regular" w:hAnsi="Times New Roman" w:eastAsia="AdobeHeitiStd-Regular" w:cs="AdobeHeitiStd-Regular"/>
          <w:kern w:val="0"/>
          <w:sz w:val="16"/>
          <w:szCs w:val="16"/>
        </w:rPr>
        <w:t xml:space="preserve">) : </w:t>
      </w:r>
      <w:r>
        <w:rPr>
          <w:rFonts w:ascii="E-BZ+ZCbFwe-3" w:hAnsi="Times New Roman" w:eastAsia="E-BZ+ZCbFwe-3" w:cs="E-BZ+ZCbFwe-3"/>
          <w:kern w:val="0"/>
          <w:sz w:val="16"/>
          <w:szCs w:val="16"/>
        </w:rPr>
        <w:t>29</w:t>
      </w:r>
      <w:r>
        <w:rPr>
          <w:rFonts w:hint="eastAsia" w:ascii="E-BZ+ZCbFwe-3" w:hAnsi="Times New Roman" w:eastAsia="E-BZ+ZCbFwe-3" w:cs="E-BZ+ZCbFwe-3"/>
          <w:kern w:val="0"/>
          <w:sz w:val="16"/>
          <w:szCs w:val="16"/>
        </w:rPr>
        <w:t>－</w:t>
      </w:r>
      <w:r>
        <w:rPr>
          <w:rFonts w:ascii="E-BZ+ZCbFwe-3" w:hAnsi="Times New Roman" w:eastAsia="E-BZ+ZCbFwe-3" w:cs="E-BZ+ZCbFwe-3"/>
          <w:kern w:val="0"/>
          <w:sz w:val="16"/>
          <w:szCs w:val="16"/>
        </w:rPr>
        <w:t xml:space="preserve"> 35.</w:t>
      </w:r>
    </w:p>
  </w:footnote>
  <w:footnote w:id="2">
    <w:p>
      <w:pPr>
        <w:tabs>
          <w:tab w:val="left" w:pos="312"/>
        </w:tabs>
        <w:autoSpaceDE w:val="0"/>
        <w:autoSpaceDN w:val="0"/>
        <w:adjustRightInd w:val="0"/>
        <w:rPr>
          <w:rFonts w:ascii="AdobeHeitiStd-Regular" w:hAnsi="Times New Roman" w:eastAsia="AdobeHeitiStd-Regular" w:cs="AdobeHeitiStd-Regular"/>
          <w:kern w:val="0"/>
          <w:sz w:val="16"/>
          <w:szCs w:val="16"/>
        </w:rPr>
      </w:pPr>
      <w:r>
        <w:rPr>
          <w:rStyle w:val="14"/>
        </w:rPr>
        <w:footnoteRef/>
      </w:r>
      <w:r>
        <w:t xml:space="preserve"> </w:t>
      </w:r>
      <w:r>
        <w:rPr>
          <w:rFonts w:hint="eastAsia" w:ascii="AdobeHeitiStd-Regular" w:hAnsi="Times New Roman" w:eastAsia="AdobeHeitiStd-Regular" w:cs="AdobeHeitiStd-Regular"/>
          <w:kern w:val="0"/>
          <w:sz w:val="16"/>
          <w:szCs w:val="16"/>
        </w:rPr>
        <w:t>王舟,卞茜,王瑞文,舒京平,孔亚萍,杨禄禄,周洁,陈珊,冯榴君,梁秋月.初中生自杀风险的普遍性及针对性干预的效果[J].中国心理卫生杂志,2020,34(02):117-122.</w:t>
      </w:r>
    </w:p>
  </w:footnote>
  <w:footnote w:id="3">
    <w:p>
      <w:pPr>
        <w:tabs>
          <w:tab w:val="left" w:pos="312"/>
        </w:tabs>
        <w:autoSpaceDE w:val="0"/>
        <w:autoSpaceDN w:val="0"/>
        <w:adjustRightInd w:val="0"/>
        <w:spacing w:line="360" w:lineRule="auto"/>
        <w:ind w:left="420" w:hanging="420" w:hangingChars="200"/>
        <w:rPr>
          <w:rFonts w:ascii="Times New Roman" w:hAnsi="Times New Roman" w:eastAsia="宋体" w:cs="Times New Roman"/>
          <w:sz w:val="24"/>
          <w:lang w:bidi="ar"/>
        </w:rPr>
      </w:pPr>
      <w:r>
        <w:rPr>
          <w:rStyle w:val="14"/>
        </w:rPr>
        <w:footnoteRef/>
      </w:r>
      <w:r>
        <w:rPr>
          <w:rFonts w:ascii="E-BZ+ZCbFwe-3" w:hAnsi="Times New Roman" w:eastAsia="E-BZ+ZCbFwe-3" w:cs="E-BZ+ZCbFwe-3"/>
          <w:kern w:val="0"/>
          <w:sz w:val="16"/>
          <w:szCs w:val="16"/>
        </w:rPr>
        <w:t xml:space="preserve"> Kalafat J. School approaches to youth suicide prevention </w:t>
      </w:r>
      <w:r>
        <w:rPr>
          <w:rFonts w:hint="eastAsia" w:ascii="E-BZ+ZCbFwe-3" w:hAnsi="Times New Roman" w:eastAsia="E-BZ+ZCbFwe-3" w:cs="E-BZ+ZCbFwe-3"/>
          <w:kern w:val="0"/>
          <w:sz w:val="16"/>
          <w:szCs w:val="16"/>
        </w:rPr>
        <w:t>[</w:t>
      </w:r>
      <w:r>
        <w:rPr>
          <w:rFonts w:ascii="E-BZ+ZCbFwe-3" w:hAnsi="Times New Roman" w:eastAsia="E-BZ+ZCbFwe-3" w:cs="E-BZ+ZCbFwe-3"/>
          <w:kern w:val="0"/>
          <w:sz w:val="16"/>
          <w:szCs w:val="16"/>
        </w:rPr>
        <w:t>J</w:t>
      </w:r>
      <w:r>
        <w:rPr>
          <w:rFonts w:hint="eastAsia" w:ascii="E-BZ+ZCbFwe-3" w:hAnsi="Times New Roman" w:eastAsia="E-BZ+ZCbFwe-3" w:cs="E-BZ+ZCbFwe-3"/>
          <w:kern w:val="0"/>
          <w:sz w:val="16"/>
          <w:szCs w:val="16"/>
        </w:rPr>
        <w:t>]</w:t>
      </w:r>
      <w:r>
        <w:rPr>
          <w:rFonts w:ascii="E-BZ+ZCbFwe-3" w:hAnsi="Times New Roman" w:eastAsia="E-BZ+ZCbFwe-3" w:cs="E-BZ+ZCbFwe-3"/>
          <w:kern w:val="0"/>
          <w:sz w:val="16"/>
          <w:szCs w:val="16"/>
        </w:rPr>
        <w:t>. Am Behav Sci</w:t>
      </w:r>
      <w:r>
        <w:rPr>
          <w:rFonts w:hint="eastAsia" w:ascii="E-BZ+ZCbFwe-3" w:hAnsi="Times New Roman" w:eastAsia="E-BZ+ZCbFwe-3" w:cs="E-BZ+ZCbFwe-3"/>
          <w:kern w:val="0"/>
          <w:sz w:val="16"/>
          <w:szCs w:val="16"/>
        </w:rPr>
        <w:t>,</w:t>
      </w:r>
      <w:r>
        <w:rPr>
          <w:rFonts w:ascii="E-BZ+ZCbFwe-3" w:hAnsi="Times New Roman" w:eastAsia="E-BZ+ZCbFwe-3" w:cs="E-BZ+ZCbFwe-3"/>
          <w:kern w:val="0"/>
          <w:sz w:val="16"/>
          <w:szCs w:val="16"/>
        </w:rPr>
        <w:t xml:space="preserve"> 2003</w:t>
      </w:r>
      <w:r>
        <w:rPr>
          <w:rFonts w:hint="eastAsia" w:ascii="E-BZ+ZCbFwe-3" w:hAnsi="Times New Roman" w:eastAsia="E-BZ+ZCbFwe-3" w:cs="E-BZ+ZCbFwe-3"/>
          <w:kern w:val="0"/>
          <w:sz w:val="16"/>
          <w:szCs w:val="16"/>
        </w:rPr>
        <w:t>,</w:t>
      </w:r>
      <w:r>
        <w:rPr>
          <w:rFonts w:ascii="E-BZ+ZCbFwe-3" w:hAnsi="Times New Roman" w:eastAsia="E-BZ+ZCbFwe-3" w:cs="E-BZ+ZCbFwe-3"/>
          <w:kern w:val="0"/>
          <w:sz w:val="16"/>
          <w:szCs w:val="16"/>
        </w:rPr>
        <w:t xml:space="preserve"> 46 ( 9 ) : 1211 </w:t>
      </w:r>
      <w:r>
        <w:rPr>
          <w:rFonts w:hint="eastAsia" w:ascii="E-BZ+ZCbFwe-3" w:hAnsi="Times New Roman" w:eastAsia="E-BZ+ZCbFwe-3" w:cs="E-BZ+ZCbFwe-3"/>
          <w:kern w:val="0"/>
          <w:sz w:val="16"/>
          <w:szCs w:val="16"/>
        </w:rPr>
        <w:t>－</w:t>
      </w:r>
      <w:r>
        <w:rPr>
          <w:rFonts w:ascii="E-BZ+ZCbFwe-3" w:hAnsi="Times New Roman" w:eastAsia="E-BZ+ZCbFwe-3" w:cs="E-BZ+ZCbFwe-3"/>
          <w:kern w:val="0"/>
          <w:sz w:val="16"/>
          <w:szCs w:val="16"/>
        </w:rPr>
        <w:t xml:space="preserve"> 1223. </w:t>
      </w:r>
    </w:p>
    <w:p>
      <w:pPr>
        <w:pStyle w:val="5"/>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7B3C03"/>
    <w:rsid w:val="000474C9"/>
    <w:rsid w:val="00083203"/>
    <w:rsid w:val="000E0D06"/>
    <w:rsid w:val="0017657D"/>
    <w:rsid w:val="00195FEE"/>
    <w:rsid w:val="001E0317"/>
    <w:rsid w:val="001F1DAC"/>
    <w:rsid w:val="001F1E3F"/>
    <w:rsid w:val="0023754B"/>
    <w:rsid w:val="002A38D5"/>
    <w:rsid w:val="002A63B7"/>
    <w:rsid w:val="002D0F72"/>
    <w:rsid w:val="00310FDC"/>
    <w:rsid w:val="00316460"/>
    <w:rsid w:val="00472783"/>
    <w:rsid w:val="004A74DD"/>
    <w:rsid w:val="004B0F82"/>
    <w:rsid w:val="0050359A"/>
    <w:rsid w:val="00613597"/>
    <w:rsid w:val="006706F0"/>
    <w:rsid w:val="006F58B2"/>
    <w:rsid w:val="007A0C81"/>
    <w:rsid w:val="008028CB"/>
    <w:rsid w:val="00806F69"/>
    <w:rsid w:val="00867F21"/>
    <w:rsid w:val="00AB7F36"/>
    <w:rsid w:val="00B975CB"/>
    <w:rsid w:val="00BC2F3B"/>
    <w:rsid w:val="00CB705E"/>
    <w:rsid w:val="00D23B47"/>
    <w:rsid w:val="00D36221"/>
    <w:rsid w:val="00D63263"/>
    <w:rsid w:val="00DD1EB9"/>
    <w:rsid w:val="00DE4C1A"/>
    <w:rsid w:val="00E41180"/>
    <w:rsid w:val="00E87F42"/>
    <w:rsid w:val="00E90A7E"/>
    <w:rsid w:val="00ED492A"/>
    <w:rsid w:val="00ED4C9D"/>
    <w:rsid w:val="00FC2CA6"/>
    <w:rsid w:val="00FE635B"/>
    <w:rsid w:val="00FE6B97"/>
    <w:rsid w:val="010E0005"/>
    <w:rsid w:val="01EB70AA"/>
    <w:rsid w:val="020E6C56"/>
    <w:rsid w:val="02340DA8"/>
    <w:rsid w:val="02C25EFD"/>
    <w:rsid w:val="03065452"/>
    <w:rsid w:val="03D362C3"/>
    <w:rsid w:val="049C053E"/>
    <w:rsid w:val="04C64DCE"/>
    <w:rsid w:val="04F06FFD"/>
    <w:rsid w:val="058913EA"/>
    <w:rsid w:val="05B55A2B"/>
    <w:rsid w:val="064858D6"/>
    <w:rsid w:val="06815989"/>
    <w:rsid w:val="06A51D42"/>
    <w:rsid w:val="07552F22"/>
    <w:rsid w:val="076574F0"/>
    <w:rsid w:val="07F91E1A"/>
    <w:rsid w:val="08A4403A"/>
    <w:rsid w:val="09F339C9"/>
    <w:rsid w:val="0A145A51"/>
    <w:rsid w:val="0A2A6E0D"/>
    <w:rsid w:val="0AD76394"/>
    <w:rsid w:val="0AED4E67"/>
    <w:rsid w:val="0B0D4ABC"/>
    <w:rsid w:val="0CBF5F09"/>
    <w:rsid w:val="0CEB46C5"/>
    <w:rsid w:val="0D365AE0"/>
    <w:rsid w:val="0DFB6065"/>
    <w:rsid w:val="0E731B90"/>
    <w:rsid w:val="0E7D0BDE"/>
    <w:rsid w:val="0E8F1072"/>
    <w:rsid w:val="0EC50AE0"/>
    <w:rsid w:val="0EC82747"/>
    <w:rsid w:val="0EC97629"/>
    <w:rsid w:val="0F005BEB"/>
    <w:rsid w:val="0F28712F"/>
    <w:rsid w:val="0F8B30EE"/>
    <w:rsid w:val="11366DA5"/>
    <w:rsid w:val="1142676C"/>
    <w:rsid w:val="116C797C"/>
    <w:rsid w:val="11B3026F"/>
    <w:rsid w:val="11C04333"/>
    <w:rsid w:val="11C97075"/>
    <w:rsid w:val="12B41952"/>
    <w:rsid w:val="13243A7C"/>
    <w:rsid w:val="133024CF"/>
    <w:rsid w:val="133920B3"/>
    <w:rsid w:val="133963EA"/>
    <w:rsid w:val="136F6EEE"/>
    <w:rsid w:val="13775D6D"/>
    <w:rsid w:val="13DF3625"/>
    <w:rsid w:val="13FD4BD5"/>
    <w:rsid w:val="14994B21"/>
    <w:rsid w:val="15BE4702"/>
    <w:rsid w:val="16661EB4"/>
    <w:rsid w:val="16905F8D"/>
    <w:rsid w:val="16E67019"/>
    <w:rsid w:val="17323535"/>
    <w:rsid w:val="177B3C03"/>
    <w:rsid w:val="18943BB3"/>
    <w:rsid w:val="18F15A19"/>
    <w:rsid w:val="195C45D2"/>
    <w:rsid w:val="1A4C38F9"/>
    <w:rsid w:val="1ADA0830"/>
    <w:rsid w:val="1B12111D"/>
    <w:rsid w:val="1B560620"/>
    <w:rsid w:val="1B8C14EB"/>
    <w:rsid w:val="1BEF0FCB"/>
    <w:rsid w:val="1BF72830"/>
    <w:rsid w:val="1CF208B5"/>
    <w:rsid w:val="1DC17B78"/>
    <w:rsid w:val="1E2321D4"/>
    <w:rsid w:val="1EC91163"/>
    <w:rsid w:val="1F3821C3"/>
    <w:rsid w:val="1FEB68C4"/>
    <w:rsid w:val="1FF92655"/>
    <w:rsid w:val="20A02A86"/>
    <w:rsid w:val="20AB3587"/>
    <w:rsid w:val="21834304"/>
    <w:rsid w:val="21A1773B"/>
    <w:rsid w:val="22E54488"/>
    <w:rsid w:val="22FD4CC8"/>
    <w:rsid w:val="2345141F"/>
    <w:rsid w:val="25106903"/>
    <w:rsid w:val="2567477B"/>
    <w:rsid w:val="266E4E20"/>
    <w:rsid w:val="267B3CE3"/>
    <w:rsid w:val="280951C2"/>
    <w:rsid w:val="2A022AFB"/>
    <w:rsid w:val="2A4C12B7"/>
    <w:rsid w:val="2ACD16E8"/>
    <w:rsid w:val="2AF85CB0"/>
    <w:rsid w:val="2B2B201E"/>
    <w:rsid w:val="2B2B7CDB"/>
    <w:rsid w:val="2C175190"/>
    <w:rsid w:val="2C4D1952"/>
    <w:rsid w:val="2CAD5966"/>
    <w:rsid w:val="2D1A5569"/>
    <w:rsid w:val="2D6627AE"/>
    <w:rsid w:val="2DFE4445"/>
    <w:rsid w:val="2E775782"/>
    <w:rsid w:val="2EF108B4"/>
    <w:rsid w:val="2F013305"/>
    <w:rsid w:val="2FC31301"/>
    <w:rsid w:val="30FB6A76"/>
    <w:rsid w:val="31461589"/>
    <w:rsid w:val="31853747"/>
    <w:rsid w:val="31F51B8A"/>
    <w:rsid w:val="326A4E6B"/>
    <w:rsid w:val="32C038CA"/>
    <w:rsid w:val="32C81841"/>
    <w:rsid w:val="33586B72"/>
    <w:rsid w:val="335D4BF8"/>
    <w:rsid w:val="33F92297"/>
    <w:rsid w:val="341E46C9"/>
    <w:rsid w:val="34381577"/>
    <w:rsid w:val="34982285"/>
    <w:rsid w:val="34D729C0"/>
    <w:rsid w:val="3500697B"/>
    <w:rsid w:val="35232BB4"/>
    <w:rsid w:val="35266A38"/>
    <w:rsid w:val="352B61A0"/>
    <w:rsid w:val="358F07D8"/>
    <w:rsid w:val="35996F4C"/>
    <w:rsid w:val="35BA07F1"/>
    <w:rsid w:val="361B3D78"/>
    <w:rsid w:val="362669B4"/>
    <w:rsid w:val="367C1CCF"/>
    <w:rsid w:val="376443AC"/>
    <w:rsid w:val="37792B41"/>
    <w:rsid w:val="37F266BA"/>
    <w:rsid w:val="38895CAB"/>
    <w:rsid w:val="38C521D5"/>
    <w:rsid w:val="38EA2A48"/>
    <w:rsid w:val="394E2400"/>
    <w:rsid w:val="397214E1"/>
    <w:rsid w:val="39EB75D1"/>
    <w:rsid w:val="3C4414D2"/>
    <w:rsid w:val="3DDB00A2"/>
    <w:rsid w:val="3EC617ED"/>
    <w:rsid w:val="3EC852B6"/>
    <w:rsid w:val="3EF876FC"/>
    <w:rsid w:val="4027358F"/>
    <w:rsid w:val="405F3D8D"/>
    <w:rsid w:val="407C1156"/>
    <w:rsid w:val="40C1579B"/>
    <w:rsid w:val="40DE2B7B"/>
    <w:rsid w:val="40E83762"/>
    <w:rsid w:val="426E5734"/>
    <w:rsid w:val="42C95560"/>
    <w:rsid w:val="43111FD4"/>
    <w:rsid w:val="437A1B5D"/>
    <w:rsid w:val="439E7BE5"/>
    <w:rsid w:val="43A9127E"/>
    <w:rsid w:val="43F8725C"/>
    <w:rsid w:val="44D0317A"/>
    <w:rsid w:val="45794298"/>
    <w:rsid w:val="45942E7D"/>
    <w:rsid w:val="45E86BDE"/>
    <w:rsid w:val="468E1DB5"/>
    <w:rsid w:val="48E63371"/>
    <w:rsid w:val="492B7A63"/>
    <w:rsid w:val="492C5E12"/>
    <w:rsid w:val="49B31595"/>
    <w:rsid w:val="4A3A1477"/>
    <w:rsid w:val="4A642A22"/>
    <w:rsid w:val="4AD93083"/>
    <w:rsid w:val="4B48784C"/>
    <w:rsid w:val="4B6C4FAF"/>
    <w:rsid w:val="4C454438"/>
    <w:rsid w:val="4CCE3A81"/>
    <w:rsid w:val="4DAD5BBD"/>
    <w:rsid w:val="4EA1478F"/>
    <w:rsid w:val="4EDE203A"/>
    <w:rsid w:val="4F695F6C"/>
    <w:rsid w:val="4FA44173"/>
    <w:rsid w:val="4FBF4B86"/>
    <w:rsid w:val="4FDB76AE"/>
    <w:rsid w:val="503C1A39"/>
    <w:rsid w:val="509654DE"/>
    <w:rsid w:val="50E172D1"/>
    <w:rsid w:val="51532212"/>
    <w:rsid w:val="51653100"/>
    <w:rsid w:val="519463BC"/>
    <w:rsid w:val="51A33580"/>
    <w:rsid w:val="51B26C00"/>
    <w:rsid w:val="51BF6B41"/>
    <w:rsid w:val="51CB1940"/>
    <w:rsid w:val="52056D12"/>
    <w:rsid w:val="52162F3D"/>
    <w:rsid w:val="52F43F77"/>
    <w:rsid w:val="53321DCF"/>
    <w:rsid w:val="53AE45A3"/>
    <w:rsid w:val="53CC775C"/>
    <w:rsid w:val="53CD3A7D"/>
    <w:rsid w:val="54174429"/>
    <w:rsid w:val="541A2DDC"/>
    <w:rsid w:val="548720A8"/>
    <w:rsid w:val="571460AA"/>
    <w:rsid w:val="571473F2"/>
    <w:rsid w:val="58853751"/>
    <w:rsid w:val="58C92E37"/>
    <w:rsid w:val="59536D5B"/>
    <w:rsid w:val="59EE271F"/>
    <w:rsid w:val="5A8237AB"/>
    <w:rsid w:val="5C3F4F99"/>
    <w:rsid w:val="5C434E75"/>
    <w:rsid w:val="5CA836D2"/>
    <w:rsid w:val="5D1C06F0"/>
    <w:rsid w:val="5DA7179E"/>
    <w:rsid w:val="5DBC5153"/>
    <w:rsid w:val="5EBD36E7"/>
    <w:rsid w:val="5EFB1633"/>
    <w:rsid w:val="5EFE549F"/>
    <w:rsid w:val="5F674150"/>
    <w:rsid w:val="5F9144DE"/>
    <w:rsid w:val="5FDD5A3D"/>
    <w:rsid w:val="5FF743F2"/>
    <w:rsid w:val="600F6821"/>
    <w:rsid w:val="60881008"/>
    <w:rsid w:val="60B202AD"/>
    <w:rsid w:val="60CB381A"/>
    <w:rsid w:val="612B2AFF"/>
    <w:rsid w:val="61F5530A"/>
    <w:rsid w:val="62131D15"/>
    <w:rsid w:val="621E212D"/>
    <w:rsid w:val="62294463"/>
    <w:rsid w:val="623D7E21"/>
    <w:rsid w:val="629F61D5"/>
    <w:rsid w:val="62BC4CCE"/>
    <w:rsid w:val="63747D28"/>
    <w:rsid w:val="640B2530"/>
    <w:rsid w:val="648D334B"/>
    <w:rsid w:val="65061BFC"/>
    <w:rsid w:val="65240E13"/>
    <w:rsid w:val="66975AE5"/>
    <w:rsid w:val="66AF7099"/>
    <w:rsid w:val="67CE450B"/>
    <w:rsid w:val="67DB0624"/>
    <w:rsid w:val="687337F3"/>
    <w:rsid w:val="68F929DE"/>
    <w:rsid w:val="697372B8"/>
    <w:rsid w:val="697F4EE4"/>
    <w:rsid w:val="6A2514CC"/>
    <w:rsid w:val="6A3A1C51"/>
    <w:rsid w:val="6A987EBB"/>
    <w:rsid w:val="6A9D1C61"/>
    <w:rsid w:val="6ABB0A7F"/>
    <w:rsid w:val="6AEA6CFC"/>
    <w:rsid w:val="6B8C0302"/>
    <w:rsid w:val="6BB340BA"/>
    <w:rsid w:val="6C0A26C9"/>
    <w:rsid w:val="6C296C04"/>
    <w:rsid w:val="6C343A83"/>
    <w:rsid w:val="6C6A416F"/>
    <w:rsid w:val="6C81275D"/>
    <w:rsid w:val="6CC34B62"/>
    <w:rsid w:val="6CE2127E"/>
    <w:rsid w:val="6D304CB3"/>
    <w:rsid w:val="6D352A47"/>
    <w:rsid w:val="6D7E5B70"/>
    <w:rsid w:val="6D977ADA"/>
    <w:rsid w:val="6DD4156C"/>
    <w:rsid w:val="6E9414CB"/>
    <w:rsid w:val="6EA0772A"/>
    <w:rsid w:val="6ED10653"/>
    <w:rsid w:val="6F644A61"/>
    <w:rsid w:val="6F974BE9"/>
    <w:rsid w:val="700F0DF7"/>
    <w:rsid w:val="708E333D"/>
    <w:rsid w:val="7105158B"/>
    <w:rsid w:val="72882126"/>
    <w:rsid w:val="728F42AE"/>
    <w:rsid w:val="729D2E6C"/>
    <w:rsid w:val="72E50041"/>
    <w:rsid w:val="731325AB"/>
    <w:rsid w:val="745E38BA"/>
    <w:rsid w:val="74B04609"/>
    <w:rsid w:val="74FF78B3"/>
    <w:rsid w:val="76747161"/>
    <w:rsid w:val="76FF4FD3"/>
    <w:rsid w:val="77BE2A56"/>
    <w:rsid w:val="77CA2A35"/>
    <w:rsid w:val="78450427"/>
    <w:rsid w:val="7909668B"/>
    <w:rsid w:val="794812C0"/>
    <w:rsid w:val="79625FCF"/>
    <w:rsid w:val="7A261992"/>
    <w:rsid w:val="7A677F8C"/>
    <w:rsid w:val="7A832BB6"/>
    <w:rsid w:val="7A8824DC"/>
    <w:rsid w:val="7AA32116"/>
    <w:rsid w:val="7B123EC1"/>
    <w:rsid w:val="7B355AC3"/>
    <w:rsid w:val="7B4A3109"/>
    <w:rsid w:val="7BBB3E2D"/>
    <w:rsid w:val="7C5E32A7"/>
    <w:rsid w:val="7C794CDA"/>
    <w:rsid w:val="7CAA74A6"/>
    <w:rsid w:val="7DEF6941"/>
    <w:rsid w:val="7E0A54EB"/>
    <w:rsid w:val="7F383D78"/>
    <w:rsid w:val="7FE91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footnote text"/>
    <w:basedOn w:val="1"/>
    <w:link w:val="43"/>
    <w:uiPriority w:val="0"/>
    <w:pPr>
      <w:snapToGrid w:val="0"/>
      <w:jc w:val="left"/>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FollowedHyperlink"/>
    <w:basedOn w:val="8"/>
    <w:qFormat/>
    <w:uiPriority w:val="0"/>
    <w:rPr>
      <w:color w:val="666666"/>
      <w:u w:val="none"/>
    </w:rPr>
  </w:style>
  <w:style w:type="character" w:styleId="11">
    <w:name w:val="Emphasis"/>
    <w:basedOn w:val="8"/>
    <w:qFormat/>
    <w:uiPriority w:val="0"/>
  </w:style>
  <w:style w:type="character" w:styleId="12">
    <w:name w:val="Hyperlink"/>
    <w:basedOn w:val="8"/>
    <w:qFormat/>
    <w:uiPriority w:val="0"/>
    <w:rPr>
      <w:color w:val="666666"/>
      <w:u w:val="none"/>
    </w:rPr>
  </w:style>
  <w:style w:type="character" w:styleId="13">
    <w:name w:val="HTML Code"/>
    <w:basedOn w:val="8"/>
    <w:qFormat/>
    <w:uiPriority w:val="0"/>
    <w:rPr>
      <w:rFonts w:hint="default" w:ascii="Consolas" w:hAnsi="Consolas" w:eastAsia="Consolas" w:cs="Consolas"/>
      <w:color w:val="C7254E"/>
      <w:sz w:val="21"/>
      <w:szCs w:val="21"/>
      <w:shd w:val="clear" w:color="auto" w:fill="F8F8F8"/>
    </w:rPr>
  </w:style>
  <w:style w:type="character" w:styleId="14">
    <w:name w:val="footnote reference"/>
    <w:basedOn w:val="8"/>
    <w:uiPriority w:val="0"/>
    <w:rPr>
      <w:vertAlign w:val="superscript"/>
    </w:rPr>
  </w:style>
  <w:style w:type="character" w:styleId="15">
    <w:name w:val="HTML Keyboard"/>
    <w:basedOn w:val="8"/>
    <w:qFormat/>
    <w:uiPriority w:val="0"/>
    <w:rPr>
      <w:rFonts w:hint="default" w:ascii="Consolas" w:hAnsi="Consolas" w:eastAsia="Consolas" w:cs="Consolas"/>
      <w:sz w:val="21"/>
      <w:szCs w:val="21"/>
    </w:rPr>
  </w:style>
  <w:style w:type="character" w:styleId="16">
    <w:name w:val="HTML Sample"/>
    <w:basedOn w:val="8"/>
    <w:qFormat/>
    <w:uiPriority w:val="0"/>
    <w:rPr>
      <w:rFonts w:hint="default" w:ascii="Consolas" w:hAnsi="Consolas" w:eastAsia="Consolas" w:cs="Consolas"/>
      <w:sz w:val="21"/>
      <w:szCs w:val="21"/>
    </w:rPr>
  </w:style>
  <w:style w:type="character" w:customStyle="1" w:styleId="17">
    <w:name w:val="cur"/>
    <w:basedOn w:val="8"/>
    <w:qFormat/>
    <w:uiPriority w:val="0"/>
    <w:rPr>
      <w:shd w:val="clear" w:color="auto" w:fill="38A40A"/>
    </w:rPr>
  </w:style>
  <w:style w:type="character" w:customStyle="1" w:styleId="18">
    <w:name w:val="cur1"/>
    <w:basedOn w:val="8"/>
    <w:qFormat/>
    <w:uiPriority w:val="0"/>
    <w:rPr>
      <w:color w:val="FFFFFF"/>
    </w:rPr>
  </w:style>
  <w:style w:type="character" w:customStyle="1" w:styleId="19">
    <w:name w:val="cur2"/>
    <w:basedOn w:val="8"/>
    <w:qFormat/>
    <w:uiPriority w:val="0"/>
    <w:rPr>
      <w:color w:val="FFFFFF"/>
    </w:rPr>
  </w:style>
  <w:style w:type="character" w:customStyle="1" w:styleId="20">
    <w:name w:val="cur3"/>
    <w:basedOn w:val="8"/>
    <w:qFormat/>
    <w:uiPriority w:val="0"/>
    <w:rPr>
      <w:shd w:val="clear" w:color="auto" w:fill="38A40A"/>
    </w:rPr>
  </w:style>
  <w:style w:type="character" w:customStyle="1" w:styleId="21">
    <w:name w:val="cur4"/>
    <w:basedOn w:val="8"/>
    <w:qFormat/>
    <w:uiPriority w:val="0"/>
    <w:rPr>
      <w:color w:val="FFFFFF"/>
    </w:rPr>
  </w:style>
  <w:style w:type="character" w:customStyle="1" w:styleId="22">
    <w:name w:val="gzweibo"/>
    <w:basedOn w:val="8"/>
    <w:qFormat/>
    <w:uiPriority w:val="0"/>
  </w:style>
  <w:style w:type="character" w:customStyle="1" w:styleId="23">
    <w:name w:val="y_bottom"/>
    <w:basedOn w:val="8"/>
    <w:qFormat/>
    <w:uiPriority w:val="0"/>
  </w:style>
  <w:style w:type="character" w:customStyle="1" w:styleId="24">
    <w:name w:val="sp01"/>
    <w:basedOn w:val="8"/>
    <w:qFormat/>
    <w:uiPriority w:val="0"/>
  </w:style>
  <w:style w:type="paragraph" w:customStyle="1" w:styleId="25">
    <w:name w:val="news_deailtit"/>
    <w:basedOn w:val="1"/>
    <w:qFormat/>
    <w:uiPriority w:val="0"/>
    <w:pPr>
      <w:shd w:val="clear" w:color="auto" w:fill="FFFFFF"/>
      <w:jc w:val="center"/>
    </w:pPr>
    <w:rPr>
      <w:rFonts w:cs="Times New Roman"/>
      <w:color w:val="AD6243"/>
      <w:kern w:val="0"/>
      <w:sz w:val="30"/>
      <w:szCs w:val="30"/>
    </w:rPr>
  </w:style>
  <w:style w:type="character" w:customStyle="1" w:styleId="26">
    <w:name w:val="cur9"/>
    <w:basedOn w:val="8"/>
    <w:qFormat/>
    <w:uiPriority w:val="0"/>
    <w:rPr>
      <w:shd w:val="clear" w:color="auto" w:fill="38A40A"/>
    </w:rPr>
  </w:style>
  <w:style w:type="character" w:customStyle="1" w:styleId="27">
    <w:name w:val="cur10"/>
    <w:basedOn w:val="8"/>
    <w:qFormat/>
    <w:uiPriority w:val="0"/>
    <w:rPr>
      <w:color w:val="FFFFFF"/>
    </w:rPr>
  </w:style>
  <w:style w:type="character" w:customStyle="1" w:styleId="28">
    <w:name w:val="cur11"/>
    <w:basedOn w:val="8"/>
    <w:qFormat/>
    <w:uiPriority w:val="0"/>
    <w:rPr>
      <w:color w:val="FFFFFF"/>
    </w:rPr>
  </w:style>
  <w:style w:type="character" w:customStyle="1" w:styleId="29">
    <w:name w:val="cur12"/>
    <w:basedOn w:val="8"/>
    <w:qFormat/>
    <w:uiPriority w:val="0"/>
    <w:rPr>
      <w:shd w:val="clear" w:color="auto" w:fill="38A40A"/>
    </w:rPr>
  </w:style>
  <w:style w:type="character" w:customStyle="1" w:styleId="30">
    <w:name w:val="cur13"/>
    <w:basedOn w:val="8"/>
    <w:qFormat/>
    <w:uiPriority w:val="0"/>
    <w:rPr>
      <w:color w:val="FFFFFF"/>
    </w:rPr>
  </w:style>
  <w:style w:type="character" w:customStyle="1" w:styleId="31">
    <w:name w:val="s2"/>
    <w:basedOn w:val="8"/>
    <w:qFormat/>
    <w:uiPriority w:val="99"/>
    <w:rPr>
      <w:rFonts w:ascii=".PingFangSC-Regular" w:hAnsi=".PingFangSC-Regular" w:cs=".PingFangSC-Regular"/>
      <w:sz w:val="56"/>
      <w:szCs w:val="56"/>
    </w:rPr>
  </w:style>
  <w:style w:type="character" w:customStyle="1" w:styleId="32">
    <w:name w:val="am-datepicker-old"/>
    <w:basedOn w:val="8"/>
    <w:qFormat/>
    <w:uiPriority w:val="0"/>
    <w:rPr>
      <w:color w:val="89D7FF"/>
    </w:rPr>
  </w:style>
  <w:style w:type="character" w:customStyle="1" w:styleId="33">
    <w:name w:val="am-disabled"/>
    <w:basedOn w:val="8"/>
    <w:qFormat/>
    <w:uiPriority w:val="0"/>
    <w:rPr>
      <w:color w:val="999999"/>
      <w:shd w:val="clear" w:color="auto" w:fill="FAFAFA"/>
    </w:rPr>
  </w:style>
  <w:style w:type="character" w:customStyle="1" w:styleId="34">
    <w:name w:val="hover24"/>
    <w:basedOn w:val="8"/>
    <w:qFormat/>
    <w:uiPriority w:val="0"/>
    <w:rPr>
      <w:shd w:val="clear" w:color="auto" w:fill="F0F0F0"/>
    </w:rPr>
  </w:style>
  <w:style w:type="character" w:customStyle="1" w:styleId="35">
    <w:name w:val="am-active9"/>
    <w:basedOn w:val="8"/>
    <w:qFormat/>
    <w:uiPriority w:val="0"/>
    <w:rPr>
      <w:color w:val="0084C7"/>
      <w:shd w:val="clear" w:color="auto" w:fill="F0F0F0"/>
    </w:rPr>
  </w:style>
  <w:style w:type="character" w:customStyle="1" w:styleId="36">
    <w:name w:val="am-active10"/>
    <w:basedOn w:val="8"/>
    <w:qFormat/>
    <w:uiPriority w:val="0"/>
    <w:rPr>
      <w:color w:val="94DF94"/>
    </w:rPr>
  </w:style>
  <w:style w:type="character" w:customStyle="1" w:styleId="37">
    <w:name w:val="am-active11"/>
    <w:basedOn w:val="8"/>
    <w:qFormat/>
    <w:uiPriority w:val="0"/>
    <w:rPr>
      <w:color w:val="F59490"/>
    </w:rPr>
  </w:style>
  <w:style w:type="character" w:customStyle="1" w:styleId="38">
    <w:name w:val="am-active12"/>
    <w:basedOn w:val="8"/>
    <w:qFormat/>
    <w:uiPriority w:val="0"/>
    <w:rPr>
      <w:color w:val="FFAD6D"/>
    </w:rPr>
  </w:style>
  <w:style w:type="paragraph" w:customStyle="1" w:styleId="39">
    <w:name w:val="_Style 36"/>
    <w:basedOn w:val="1"/>
    <w:next w:val="1"/>
    <w:qFormat/>
    <w:uiPriority w:val="0"/>
    <w:pPr>
      <w:pBdr>
        <w:bottom w:val="single" w:color="auto" w:sz="6" w:space="1"/>
      </w:pBdr>
      <w:jc w:val="center"/>
    </w:pPr>
    <w:rPr>
      <w:rFonts w:ascii="Arial" w:eastAsia="宋体"/>
      <w:vanish/>
      <w:sz w:val="16"/>
    </w:rPr>
  </w:style>
  <w:style w:type="paragraph" w:customStyle="1" w:styleId="40">
    <w:name w:val="_Style 37"/>
    <w:basedOn w:val="1"/>
    <w:next w:val="1"/>
    <w:qFormat/>
    <w:uiPriority w:val="0"/>
    <w:pPr>
      <w:pBdr>
        <w:top w:val="single" w:color="auto" w:sz="6" w:space="1"/>
      </w:pBdr>
      <w:jc w:val="center"/>
    </w:pPr>
    <w:rPr>
      <w:rFonts w:ascii="Arial" w:eastAsia="宋体"/>
      <w:vanish/>
      <w:sz w:val="16"/>
    </w:rPr>
  </w:style>
  <w:style w:type="character" w:customStyle="1" w:styleId="41">
    <w:name w:val="time2"/>
    <w:basedOn w:val="8"/>
    <w:qFormat/>
    <w:uiPriority w:val="0"/>
    <w:rPr>
      <w:rFonts w:ascii="Arial" w:hAnsi="Arial" w:cs="Arial"/>
    </w:rPr>
  </w:style>
  <w:style w:type="character" w:customStyle="1" w:styleId="42">
    <w:name w:val="time"/>
    <w:basedOn w:val="8"/>
    <w:qFormat/>
    <w:uiPriority w:val="0"/>
    <w:rPr>
      <w:rFonts w:ascii="Arial" w:hAnsi="Arial" w:cs="Arial"/>
    </w:rPr>
  </w:style>
  <w:style w:type="character" w:customStyle="1" w:styleId="43">
    <w:name w:val="脚注文本 字符"/>
    <w:basedOn w:val="8"/>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C3A786-2A9E-4294-98C8-354B6CCA671C}">
  <ds:schemaRefs/>
</ds:datastoreItem>
</file>

<file path=docProps/app.xml><?xml version="1.0" encoding="utf-8"?>
<Properties xmlns="http://schemas.openxmlformats.org/officeDocument/2006/extended-properties" xmlns:vt="http://schemas.openxmlformats.org/officeDocument/2006/docPropsVTypes">
  <Template>Normal</Template>
  <Pages>12</Pages>
  <Words>642</Words>
  <Characters>3666</Characters>
  <Lines>30</Lines>
  <Paragraphs>8</Paragraphs>
  <TotalTime>5</TotalTime>
  <ScaleCrop>false</ScaleCrop>
  <LinksUpToDate>false</LinksUpToDate>
  <CharactersWithSpaces>4300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2020-11-24T02:16:00Z</dcterms:created>
  <dc:creator>nn</dc:creator>
  <cp:lastModifiedBy>nn</cp:lastModifiedBy>
  <dcterms:modified xsi:type="dcterms:W3CDTF">2020-12-30T10:52:09Z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